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1E8" w14:textId="77777777" w:rsidR="00FB7DB0" w:rsidRPr="005F4FD6" w:rsidRDefault="005F4FD6" w:rsidP="005F4FD6">
      <w:pPr>
        <w:widowControl w:val="0"/>
        <w:spacing w:line="360" w:lineRule="auto"/>
        <w:jc w:val="center"/>
        <w:rPr>
          <w:caps/>
        </w:rPr>
      </w:pPr>
      <w:r w:rsidRPr="005F4FD6">
        <w:rPr>
          <w:caps/>
        </w:rPr>
        <w:t>мИНИСТЕРСТВО ЗДРАВООХРАНЕНИЯ РОССИЙСКОЙ ФЕДЕРАЦИИ</w:t>
      </w:r>
    </w:p>
    <w:p w14:paraId="384CEAC7" w14:textId="77777777" w:rsidR="00FB7DB0" w:rsidRPr="005F4FD6" w:rsidRDefault="00FB7DB0" w:rsidP="005F4FD6">
      <w:pPr>
        <w:widowControl w:val="0"/>
        <w:spacing w:line="360" w:lineRule="auto"/>
        <w:jc w:val="center"/>
        <w:rPr>
          <w:caps/>
        </w:rPr>
      </w:pPr>
      <w:r w:rsidRPr="005F4FD6">
        <w:rPr>
          <w:caps/>
        </w:rPr>
        <w:t xml:space="preserve">ИНСТРУКЦИЯ </w:t>
      </w:r>
    </w:p>
    <w:p w14:paraId="79D793C1" w14:textId="77777777" w:rsidR="00FB7DB0" w:rsidRPr="00E947BC" w:rsidRDefault="00FB7DB0" w:rsidP="005F4FD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4E70">
        <w:rPr>
          <w:sz w:val="28"/>
          <w:szCs w:val="28"/>
        </w:rPr>
        <w:t>по</w:t>
      </w:r>
      <w:r w:rsidR="005F4FD6">
        <w:rPr>
          <w:sz w:val="28"/>
          <w:szCs w:val="28"/>
        </w:rPr>
        <w:t xml:space="preserve"> </w:t>
      </w:r>
      <w:r w:rsidR="005F4FD6" w:rsidRPr="00584E70">
        <w:rPr>
          <w:sz w:val="28"/>
          <w:szCs w:val="28"/>
        </w:rPr>
        <w:t>медицинско</w:t>
      </w:r>
      <w:r w:rsidR="005F4FD6">
        <w:rPr>
          <w:sz w:val="28"/>
          <w:szCs w:val="28"/>
        </w:rPr>
        <w:t>му</w:t>
      </w:r>
      <w:r w:rsidRPr="00584E70">
        <w:rPr>
          <w:sz w:val="28"/>
          <w:szCs w:val="28"/>
        </w:rPr>
        <w:t xml:space="preserve"> применению лекарственного препарата</w:t>
      </w:r>
    </w:p>
    <w:p w14:paraId="5E4C4D8B" w14:textId="77777777" w:rsidR="00FB7DB0" w:rsidRPr="00347947" w:rsidRDefault="00FB7DB0" w:rsidP="005F4F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047C635" w14:textId="77777777" w:rsidR="00FB7DB0" w:rsidRPr="00D125C1" w:rsidRDefault="00FB7DB0" w:rsidP="00F20491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97924">
        <w:rPr>
          <w:b/>
          <w:bCs/>
        </w:rPr>
        <w:t>Париет</w:t>
      </w:r>
      <w:proofErr w:type="spellEnd"/>
      <w:r w:rsidRPr="00F97924">
        <w:rPr>
          <w:b/>
          <w:bCs/>
          <w:vertAlign w:val="superscript"/>
        </w:rPr>
        <w:t>®</w:t>
      </w:r>
      <w:r w:rsidRPr="00F97924">
        <w:rPr>
          <w:b/>
          <w:bCs/>
        </w:rPr>
        <w:t xml:space="preserve"> (</w:t>
      </w:r>
      <w:proofErr w:type="spellStart"/>
      <w:r w:rsidRPr="00F97924">
        <w:rPr>
          <w:b/>
          <w:bCs/>
        </w:rPr>
        <w:t>Pariet</w:t>
      </w:r>
      <w:proofErr w:type="spellEnd"/>
      <w:r w:rsidRPr="00F97924">
        <w:rPr>
          <w:b/>
          <w:bCs/>
          <w:vertAlign w:val="superscript"/>
        </w:rPr>
        <w:t>®</w:t>
      </w:r>
      <w:r w:rsidRPr="00F97924">
        <w:rPr>
          <w:b/>
          <w:bCs/>
        </w:rPr>
        <w:t>)</w:t>
      </w:r>
    </w:p>
    <w:p w14:paraId="4C8BAAA2" w14:textId="77777777" w:rsidR="00211EBD" w:rsidRPr="00347947" w:rsidRDefault="00211EBD" w:rsidP="00F20491">
      <w:pPr>
        <w:pStyle w:val="a0"/>
        <w:tabs>
          <w:tab w:val="clear" w:pos="709"/>
        </w:tabs>
        <w:spacing w:line="240" w:lineRule="auto"/>
        <w:rPr>
          <w:b/>
          <w:bCs/>
          <w:sz w:val="22"/>
          <w:szCs w:val="22"/>
        </w:rPr>
      </w:pPr>
    </w:p>
    <w:p w14:paraId="251DD85A" w14:textId="77777777" w:rsidR="00211EBD" w:rsidRPr="00211EBD" w:rsidRDefault="00211EBD" w:rsidP="00F20491">
      <w:pPr>
        <w:tabs>
          <w:tab w:val="left" w:pos="540"/>
        </w:tabs>
        <w:spacing w:before="120"/>
        <w:jc w:val="both"/>
      </w:pPr>
      <w:r w:rsidRPr="00264EA8">
        <w:rPr>
          <w:b/>
        </w:rPr>
        <w:t>Регистрационный номер</w:t>
      </w:r>
      <w:r w:rsidRPr="00264EA8">
        <w:t xml:space="preserve"> – </w:t>
      </w:r>
      <w:r w:rsidRPr="00211EBD">
        <w:t xml:space="preserve">П N011880/01 </w:t>
      </w:r>
    </w:p>
    <w:p w14:paraId="0501C3D3" w14:textId="77777777" w:rsidR="00211EBD" w:rsidRPr="00264EA8" w:rsidRDefault="00211EBD" w:rsidP="00F20491">
      <w:pPr>
        <w:tabs>
          <w:tab w:val="left" w:pos="540"/>
        </w:tabs>
        <w:spacing w:before="120"/>
        <w:jc w:val="both"/>
      </w:pPr>
      <w:r w:rsidRPr="00264EA8">
        <w:rPr>
          <w:b/>
        </w:rPr>
        <w:t xml:space="preserve">Торговое название: </w:t>
      </w:r>
      <w:proofErr w:type="spellStart"/>
      <w:r w:rsidRPr="00264EA8">
        <w:t>Париет</w:t>
      </w:r>
      <w:proofErr w:type="spellEnd"/>
      <w:r w:rsidRPr="00264EA8">
        <w:rPr>
          <w:sz w:val="32"/>
          <w:vertAlign w:val="superscript"/>
        </w:rPr>
        <w:t>®</w:t>
      </w:r>
    </w:p>
    <w:p w14:paraId="2FC221F0" w14:textId="77777777" w:rsidR="00211EBD" w:rsidRPr="00264EA8" w:rsidRDefault="00211EBD" w:rsidP="005F4FD6">
      <w:pPr>
        <w:tabs>
          <w:tab w:val="left" w:pos="540"/>
        </w:tabs>
        <w:spacing w:before="120" w:line="360" w:lineRule="auto"/>
        <w:jc w:val="both"/>
      </w:pPr>
      <w:r w:rsidRPr="00264EA8">
        <w:rPr>
          <w:b/>
        </w:rPr>
        <w:t>Международное непатентованное название:</w:t>
      </w:r>
      <w:r w:rsidRPr="00264EA8">
        <w:t xml:space="preserve"> </w:t>
      </w:r>
      <w:proofErr w:type="spellStart"/>
      <w:r w:rsidRPr="00264EA8">
        <w:t>рабепразол</w:t>
      </w:r>
      <w:proofErr w:type="spellEnd"/>
    </w:p>
    <w:p w14:paraId="459CB513" w14:textId="77777777" w:rsidR="00211EBD" w:rsidRPr="00264EA8" w:rsidRDefault="00211EBD" w:rsidP="005F4FD6">
      <w:pPr>
        <w:pStyle w:val="Heading6"/>
        <w:widowControl/>
        <w:tabs>
          <w:tab w:val="left" w:pos="540"/>
        </w:tabs>
        <w:spacing w:line="360" w:lineRule="auto"/>
        <w:jc w:val="both"/>
        <w:rPr>
          <w:rFonts w:ascii="Times New Roman" w:hAnsi="Times New Roman"/>
          <w:b w:val="0"/>
        </w:rPr>
      </w:pPr>
      <w:r w:rsidRPr="00264EA8">
        <w:rPr>
          <w:rFonts w:ascii="Times New Roman" w:hAnsi="Times New Roman"/>
        </w:rPr>
        <w:t xml:space="preserve">Лекарственная форма: </w:t>
      </w:r>
      <w:r w:rsidRPr="00264EA8">
        <w:rPr>
          <w:rFonts w:ascii="Times New Roman" w:hAnsi="Times New Roman"/>
          <w:b w:val="0"/>
        </w:rPr>
        <w:t>таблетки, покрытые кишечнорастворимой оболочкой.</w:t>
      </w:r>
    </w:p>
    <w:p w14:paraId="27DB7F48" w14:textId="77777777" w:rsidR="005222DD" w:rsidRPr="005222DD" w:rsidRDefault="005222DD" w:rsidP="00F20491">
      <w:pPr>
        <w:pStyle w:val="BodyText"/>
        <w:spacing w:before="120"/>
        <w:rPr>
          <w:rFonts w:ascii="Times New Roman" w:eastAsia="Calibri" w:hAnsi="Times New Roman"/>
          <w:b/>
          <w:szCs w:val="24"/>
        </w:rPr>
      </w:pPr>
      <w:r w:rsidRPr="005222DD">
        <w:rPr>
          <w:rFonts w:ascii="Times New Roman" w:eastAsia="Calibri" w:hAnsi="Times New Roman"/>
          <w:b/>
          <w:szCs w:val="24"/>
        </w:rPr>
        <w:t xml:space="preserve">Состав  </w:t>
      </w:r>
    </w:p>
    <w:p w14:paraId="2AAEBDC8" w14:textId="77777777" w:rsidR="00F20491" w:rsidRPr="00F20491" w:rsidRDefault="00F20491" w:rsidP="00F20491">
      <w:pPr>
        <w:pStyle w:val="BodyText"/>
        <w:rPr>
          <w:rFonts w:ascii="Times New Roman" w:eastAsia="Calibri" w:hAnsi="Times New Roman"/>
          <w:b/>
          <w:szCs w:val="24"/>
        </w:rPr>
      </w:pPr>
      <w:r w:rsidRPr="00F20491">
        <w:rPr>
          <w:rFonts w:ascii="Times New Roman" w:eastAsia="Calibri" w:hAnsi="Times New Roman"/>
          <w:i/>
          <w:szCs w:val="24"/>
        </w:rPr>
        <w:t>Активное вещество:</w:t>
      </w:r>
      <w:r w:rsidRPr="00F20491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F20491">
        <w:rPr>
          <w:rFonts w:ascii="Times New Roman" w:eastAsia="Calibri" w:hAnsi="Times New Roman"/>
          <w:szCs w:val="24"/>
        </w:rPr>
        <w:t>рабепразол</w:t>
      </w:r>
      <w:proofErr w:type="spellEnd"/>
      <w:r w:rsidRPr="00F20491">
        <w:rPr>
          <w:rFonts w:ascii="Times New Roman" w:eastAsia="Calibri" w:hAnsi="Times New Roman"/>
          <w:szCs w:val="24"/>
        </w:rPr>
        <w:t xml:space="preserve"> натрий, 20 мг, что в пересчете соответствует 18,85 мг </w:t>
      </w:r>
      <w:proofErr w:type="spellStart"/>
      <w:r w:rsidRPr="00F20491">
        <w:rPr>
          <w:rFonts w:ascii="Times New Roman" w:eastAsia="Calibri" w:hAnsi="Times New Roman"/>
          <w:szCs w:val="24"/>
        </w:rPr>
        <w:t>рабепразола</w:t>
      </w:r>
      <w:proofErr w:type="spellEnd"/>
      <w:r w:rsidRPr="00F20491">
        <w:rPr>
          <w:rFonts w:ascii="Times New Roman" w:eastAsia="Calibri" w:hAnsi="Times New Roman"/>
          <w:szCs w:val="24"/>
        </w:rPr>
        <w:t xml:space="preserve"> соответственно.</w:t>
      </w:r>
    </w:p>
    <w:p w14:paraId="0CB36638" w14:textId="3CF92AB9" w:rsidR="005222DD" w:rsidRPr="00CD36EE" w:rsidRDefault="00F20491" w:rsidP="00F20491">
      <w:pPr>
        <w:shd w:val="clear" w:color="auto" w:fill="FFFFFF"/>
        <w:jc w:val="both"/>
        <w:rPr>
          <w:rFonts w:eastAsia="Calibri"/>
        </w:rPr>
      </w:pPr>
      <w:r w:rsidRPr="00CD36EE">
        <w:rPr>
          <w:rFonts w:eastAsia="Calibri"/>
          <w:i/>
        </w:rPr>
        <w:t>Вспомогательные вещества:</w:t>
      </w:r>
      <w:r w:rsidRPr="00CD36EE">
        <w:rPr>
          <w:rFonts w:eastAsia="Calibri"/>
        </w:rPr>
        <w:t xml:space="preserve"> </w:t>
      </w:r>
      <w:proofErr w:type="spellStart"/>
      <w:r w:rsidRPr="00CD36EE">
        <w:rPr>
          <w:rFonts w:eastAsia="Calibri"/>
        </w:rPr>
        <w:t>маннит</w:t>
      </w:r>
      <w:proofErr w:type="spellEnd"/>
      <w:r w:rsidRPr="00CD36EE">
        <w:rPr>
          <w:rFonts w:eastAsia="Calibri"/>
        </w:rPr>
        <w:t xml:space="preserve"> (</w:t>
      </w:r>
      <w:proofErr w:type="spellStart"/>
      <w:r w:rsidRPr="00CD36EE">
        <w:rPr>
          <w:rFonts w:eastAsia="Calibri"/>
        </w:rPr>
        <w:t>маннитол</w:t>
      </w:r>
      <w:proofErr w:type="spellEnd"/>
      <w:r w:rsidRPr="00CD36EE">
        <w:rPr>
          <w:rFonts w:eastAsia="Calibri"/>
        </w:rPr>
        <w:t xml:space="preserve">) - 40,0 мг, магния оксид - 63,0 мг, </w:t>
      </w:r>
      <w:proofErr w:type="spellStart"/>
      <w:r w:rsidRPr="00CD36EE">
        <w:rPr>
          <w:rFonts w:eastAsia="Calibri"/>
        </w:rPr>
        <w:t>гидроксипропилцеллюлоза</w:t>
      </w:r>
      <w:proofErr w:type="spellEnd"/>
      <w:r w:rsidRPr="00CD36EE">
        <w:rPr>
          <w:rFonts w:eastAsia="Calibri"/>
        </w:rPr>
        <w:t xml:space="preserve"> </w:t>
      </w:r>
      <w:proofErr w:type="spellStart"/>
      <w:r w:rsidRPr="00CD36EE">
        <w:rPr>
          <w:rFonts w:eastAsia="Calibri"/>
        </w:rPr>
        <w:t>слабозамещенная</w:t>
      </w:r>
      <w:proofErr w:type="spellEnd"/>
      <w:r w:rsidRPr="00CD36EE">
        <w:rPr>
          <w:rFonts w:eastAsia="Calibri"/>
        </w:rPr>
        <w:t xml:space="preserve"> (</w:t>
      </w:r>
      <w:proofErr w:type="spellStart"/>
      <w:r w:rsidRPr="00CD36EE">
        <w:rPr>
          <w:rFonts w:eastAsia="Calibri"/>
        </w:rPr>
        <w:t>гипролоза</w:t>
      </w:r>
      <w:proofErr w:type="spellEnd"/>
      <w:r w:rsidRPr="00CD36EE">
        <w:rPr>
          <w:rFonts w:eastAsia="Calibri"/>
        </w:rPr>
        <w:t xml:space="preserve">) - 19,5 мг, </w:t>
      </w:r>
      <w:proofErr w:type="spellStart"/>
      <w:r w:rsidRPr="00CD36EE">
        <w:rPr>
          <w:rFonts w:eastAsia="Calibri"/>
        </w:rPr>
        <w:t>гидроксипропилцеллюлоза</w:t>
      </w:r>
      <w:proofErr w:type="spellEnd"/>
      <w:r w:rsidRPr="00CD36EE">
        <w:rPr>
          <w:rFonts w:eastAsia="Calibri"/>
        </w:rPr>
        <w:t xml:space="preserve"> (</w:t>
      </w:r>
      <w:proofErr w:type="spellStart"/>
      <w:r w:rsidRPr="00CD36EE">
        <w:rPr>
          <w:rFonts w:eastAsia="Calibri"/>
        </w:rPr>
        <w:t>гипролоза</w:t>
      </w:r>
      <w:proofErr w:type="spellEnd"/>
      <w:r w:rsidRPr="00CD36EE">
        <w:rPr>
          <w:rFonts w:eastAsia="Calibri"/>
        </w:rPr>
        <w:t xml:space="preserve">) - 3,0 мг, магния </w:t>
      </w:r>
      <w:proofErr w:type="spellStart"/>
      <w:r w:rsidRPr="00CD36EE">
        <w:rPr>
          <w:rFonts w:eastAsia="Calibri"/>
        </w:rPr>
        <w:t>стеарат</w:t>
      </w:r>
      <w:proofErr w:type="spellEnd"/>
      <w:r w:rsidRPr="00CD36EE">
        <w:rPr>
          <w:rFonts w:eastAsia="Calibri"/>
        </w:rPr>
        <w:t xml:space="preserve"> - 1,5 мг, </w:t>
      </w:r>
      <w:proofErr w:type="spellStart"/>
      <w:r w:rsidRPr="00CD36EE">
        <w:rPr>
          <w:rFonts w:eastAsia="Calibri"/>
        </w:rPr>
        <w:t>этилцеллюлоза</w:t>
      </w:r>
      <w:proofErr w:type="spellEnd"/>
      <w:r w:rsidRPr="00CD36EE">
        <w:rPr>
          <w:rFonts w:eastAsia="Calibri"/>
        </w:rPr>
        <w:t xml:space="preserve"> - 1,0 мг, </w:t>
      </w:r>
      <w:proofErr w:type="spellStart"/>
      <w:r w:rsidRPr="00CD36EE">
        <w:rPr>
          <w:rFonts w:eastAsia="Calibri"/>
        </w:rPr>
        <w:t>гипромеллозы</w:t>
      </w:r>
      <w:proofErr w:type="spellEnd"/>
      <w:r w:rsidRPr="00CD36EE">
        <w:rPr>
          <w:rFonts w:eastAsia="Calibri"/>
        </w:rPr>
        <w:t xml:space="preserve"> </w:t>
      </w:r>
      <w:proofErr w:type="spellStart"/>
      <w:r w:rsidRPr="00CD36EE">
        <w:rPr>
          <w:rFonts w:eastAsia="Calibri"/>
        </w:rPr>
        <w:t>фталат</w:t>
      </w:r>
      <w:proofErr w:type="spellEnd"/>
      <w:r w:rsidRPr="00CD36EE">
        <w:rPr>
          <w:rFonts w:eastAsia="Calibri"/>
        </w:rPr>
        <w:t xml:space="preserve"> - 12,0 мг, </w:t>
      </w:r>
      <w:proofErr w:type="spellStart"/>
      <w:r w:rsidRPr="00CD36EE">
        <w:rPr>
          <w:rFonts w:eastAsia="Calibri"/>
        </w:rPr>
        <w:t>диацетилированный</w:t>
      </w:r>
      <w:proofErr w:type="spellEnd"/>
      <w:r w:rsidRPr="00CD36EE">
        <w:rPr>
          <w:rFonts w:eastAsia="Calibri"/>
        </w:rPr>
        <w:t xml:space="preserve"> </w:t>
      </w:r>
      <w:proofErr w:type="spellStart"/>
      <w:r w:rsidRPr="00CD36EE">
        <w:rPr>
          <w:rFonts w:eastAsia="Calibri"/>
        </w:rPr>
        <w:t>моноглицерид</w:t>
      </w:r>
      <w:proofErr w:type="spellEnd"/>
      <w:r w:rsidRPr="00CD36EE">
        <w:rPr>
          <w:rFonts w:eastAsia="Calibri"/>
        </w:rPr>
        <w:t xml:space="preserve"> - 1,2 мг, тальк - 1,13 мг, титана диоксид (Е171) - 0,6 мг, железа оксид желтый - 0,07 мг, </w:t>
      </w:r>
      <w:proofErr w:type="spellStart"/>
      <w:r w:rsidRPr="00CD36EE">
        <w:rPr>
          <w:rFonts w:eastAsia="Calibri"/>
        </w:rPr>
        <w:t>карнаубский</w:t>
      </w:r>
      <w:proofErr w:type="spellEnd"/>
      <w:r w:rsidRPr="00CD36EE">
        <w:rPr>
          <w:rFonts w:eastAsia="Calibri"/>
        </w:rPr>
        <w:t xml:space="preserve"> воск - 0,002 мг, чернила пищевые красные A1 (белый шеллак, железа оксид красный, </w:t>
      </w:r>
      <w:proofErr w:type="spellStart"/>
      <w:r w:rsidRPr="00CD36EE">
        <w:rPr>
          <w:rFonts w:eastAsia="Calibri"/>
        </w:rPr>
        <w:t>карнаубский</w:t>
      </w:r>
      <w:proofErr w:type="spellEnd"/>
      <w:r w:rsidRPr="00CD36EE">
        <w:rPr>
          <w:rFonts w:eastAsia="Calibri"/>
        </w:rPr>
        <w:t xml:space="preserve"> воск, сложный эфир глицериновой кислоты, этанол </w:t>
      </w:r>
      <w:proofErr w:type="spellStart"/>
      <w:r w:rsidRPr="00CD36EE">
        <w:rPr>
          <w:rFonts w:eastAsia="Calibri"/>
        </w:rPr>
        <w:t>дегидратированный</w:t>
      </w:r>
      <w:proofErr w:type="spellEnd"/>
      <w:r w:rsidRPr="00CD36EE">
        <w:rPr>
          <w:rFonts w:eastAsia="Calibri"/>
        </w:rPr>
        <w:t>, 1-бутанол).</w:t>
      </w:r>
      <w:r w:rsidR="005222DD" w:rsidRPr="00CD36EE">
        <w:rPr>
          <w:rFonts w:eastAsia="Calibri"/>
        </w:rPr>
        <w:t xml:space="preserve"> </w:t>
      </w:r>
    </w:p>
    <w:p w14:paraId="59652D89" w14:textId="77777777" w:rsidR="00211EBD" w:rsidRPr="00264EA8" w:rsidRDefault="00211EBD" w:rsidP="00F20491">
      <w:pPr>
        <w:pStyle w:val="Heading2"/>
        <w:spacing w:before="120"/>
        <w:rPr>
          <w:rFonts w:ascii="Times New Roman" w:hAnsi="Times New Roman"/>
        </w:rPr>
      </w:pPr>
      <w:r w:rsidRPr="00264EA8">
        <w:rPr>
          <w:rFonts w:ascii="Times New Roman" w:hAnsi="Times New Roman"/>
        </w:rPr>
        <w:t>Описание</w:t>
      </w:r>
    </w:p>
    <w:p w14:paraId="1990CDA5" w14:textId="77777777" w:rsidR="00211EBD" w:rsidRPr="00136126" w:rsidRDefault="00211EBD" w:rsidP="00F20491">
      <w:pPr>
        <w:shd w:val="clear" w:color="auto" w:fill="FFFFFF"/>
        <w:jc w:val="both"/>
      </w:pPr>
      <w:r w:rsidRPr="00136126">
        <w:t>Светло-желтые двояковыпуклые таблетки округлой формы, покрытые оболочкой, на одной стороне маркировка красными чернилами “Е243”. Цвет таблетки на поперечном срезе от белого до почти белого цвета.</w:t>
      </w:r>
    </w:p>
    <w:p w14:paraId="632DE37E" w14:textId="77777777" w:rsidR="005222DD" w:rsidRPr="00850F4F" w:rsidRDefault="005222DD" w:rsidP="00F20491">
      <w:pPr>
        <w:spacing w:before="120"/>
        <w:jc w:val="both"/>
        <w:rPr>
          <w:rFonts w:eastAsia="Calibri"/>
        </w:rPr>
      </w:pPr>
      <w:r w:rsidRPr="00A05FCA">
        <w:rPr>
          <w:rFonts w:eastAsia="Calibri"/>
          <w:b/>
        </w:rPr>
        <w:t>Фармакотерапевтическая группа:</w:t>
      </w:r>
      <w:r w:rsidRPr="00A05FCA">
        <w:rPr>
          <w:rFonts w:eastAsia="Calibri"/>
        </w:rPr>
        <w:t xml:space="preserve"> средство понижающее секрецию желез желудка – протонной помпы ингибитор.</w:t>
      </w:r>
    </w:p>
    <w:p w14:paraId="727D4D95" w14:textId="77777777" w:rsidR="00211EBD" w:rsidRPr="00264EA8" w:rsidRDefault="00211EBD" w:rsidP="00F20491">
      <w:pPr>
        <w:spacing w:before="120"/>
        <w:jc w:val="both"/>
      </w:pPr>
      <w:r w:rsidRPr="00264EA8">
        <w:rPr>
          <w:b/>
        </w:rPr>
        <w:t>Код АТХ</w:t>
      </w:r>
      <w:r w:rsidRPr="00264EA8">
        <w:t xml:space="preserve">: </w:t>
      </w:r>
      <w:r w:rsidRPr="005F4FD6">
        <w:t>А02ВС04</w:t>
      </w:r>
    </w:p>
    <w:p w14:paraId="4C165426" w14:textId="77777777" w:rsidR="005222DD" w:rsidRPr="00A05FCA" w:rsidRDefault="005222DD" w:rsidP="00F20491">
      <w:pPr>
        <w:pStyle w:val="Heading2"/>
        <w:spacing w:before="120"/>
        <w:rPr>
          <w:rFonts w:ascii="Times New Roman" w:eastAsia="Calibri" w:hAnsi="Times New Roman"/>
          <w:bCs/>
          <w:iCs/>
          <w:szCs w:val="24"/>
        </w:rPr>
      </w:pPr>
      <w:r w:rsidRPr="00A05FCA">
        <w:rPr>
          <w:rFonts w:ascii="Times New Roman" w:eastAsia="Calibri" w:hAnsi="Times New Roman"/>
          <w:bCs/>
          <w:iCs/>
          <w:szCs w:val="24"/>
        </w:rPr>
        <w:t>Фармакологические свойства</w:t>
      </w:r>
    </w:p>
    <w:p w14:paraId="0FA71BEF" w14:textId="77777777" w:rsidR="005222DD" w:rsidRPr="005F4FD6" w:rsidRDefault="005222DD" w:rsidP="005F4FD6">
      <w:pPr>
        <w:pStyle w:val="Heading3"/>
        <w:spacing w:before="0"/>
        <w:ind w:left="0"/>
        <w:rPr>
          <w:rFonts w:ascii="Times New Roman" w:eastAsia="Calibri" w:hAnsi="Times New Roman"/>
          <w:bCs/>
          <w:i/>
          <w:szCs w:val="24"/>
          <w:u w:val="single"/>
        </w:rPr>
      </w:pPr>
      <w:proofErr w:type="spellStart"/>
      <w:r w:rsidRPr="005F4FD6">
        <w:rPr>
          <w:rFonts w:ascii="Times New Roman" w:eastAsia="Calibri" w:hAnsi="Times New Roman"/>
          <w:bCs/>
          <w:i/>
          <w:szCs w:val="24"/>
          <w:u w:val="single"/>
        </w:rPr>
        <w:t>Фармакодинамика</w:t>
      </w:r>
      <w:proofErr w:type="spellEnd"/>
    </w:p>
    <w:p w14:paraId="18E76968" w14:textId="77777777" w:rsidR="005222DD" w:rsidRPr="00A05FCA" w:rsidRDefault="005222DD" w:rsidP="005F4FD6">
      <w:pPr>
        <w:pStyle w:val="Heading3"/>
        <w:spacing w:before="0"/>
        <w:ind w:left="0"/>
        <w:rPr>
          <w:rFonts w:ascii="Times New Roman" w:eastAsia="Calibri" w:hAnsi="Times New Roman"/>
          <w:bCs/>
          <w:i/>
          <w:szCs w:val="24"/>
        </w:rPr>
      </w:pPr>
      <w:r w:rsidRPr="00A05FCA">
        <w:rPr>
          <w:rFonts w:ascii="Times New Roman" w:eastAsia="Calibri" w:hAnsi="Times New Roman"/>
          <w:bCs/>
          <w:i/>
          <w:szCs w:val="24"/>
        </w:rPr>
        <w:t>Механизм действия</w:t>
      </w:r>
    </w:p>
    <w:p w14:paraId="00C37C7F" w14:textId="77777777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относится к классу </w:t>
      </w:r>
      <w:proofErr w:type="spellStart"/>
      <w:r w:rsidRPr="00A05FCA">
        <w:rPr>
          <w:rFonts w:eastAsia="Calibri"/>
        </w:rPr>
        <w:t>антисекреторных</w:t>
      </w:r>
      <w:proofErr w:type="spellEnd"/>
      <w:r w:rsidRPr="00A05FCA">
        <w:rPr>
          <w:rFonts w:eastAsia="Calibri"/>
        </w:rPr>
        <w:t xml:space="preserve"> веществ, производных </w:t>
      </w:r>
      <w:proofErr w:type="spellStart"/>
      <w:r w:rsidRPr="00A05FCA">
        <w:rPr>
          <w:rFonts w:eastAsia="Calibri"/>
        </w:rPr>
        <w:t>бензимидазола</w:t>
      </w:r>
      <w:proofErr w:type="spellEnd"/>
      <w:r w:rsidRPr="00A05FCA">
        <w:rPr>
          <w:rFonts w:eastAsia="Calibri"/>
        </w:rPr>
        <w:t xml:space="preserve">.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подавляет секрецию желудочного сока путем специфического ингибирования H+/K+ </w:t>
      </w:r>
      <w:proofErr w:type="spellStart"/>
      <w:r w:rsidRPr="00A05FCA">
        <w:rPr>
          <w:rFonts w:eastAsia="Calibri"/>
        </w:rPr>
        <w:t>АТФазы</w:t>
      </w:r>
      <w:proofErr w:type="spellEnd"/>
      <w:r w:rsidRPr="00A05FCA">
        <w:rPr>
          <w:rFonts w:eastAsia="Calibri"/>
        </w:rPr>
        <w:t xml:space="preserve"> на секреторной поверхности париетальных клеток желудка. H+/K+ </w:t>
      </w:r>
      <w:proofErr w:type="spellStart"/>
      <w:r w:rsidRPr="00A05FCA">
        <w:rPr>
          <w:rFonts w:eastAsia="Calibri"/>
        </w:rPr>
        <w:t>АТФаза</w:t>
      </w:r>
      <w:proofErr w:type="spellEnd"/>
      <w:r w:rsidRPr="00A05FCA">
        <w:rPr>
          <w:rFonts w:eastAsia="Calibri"/>
        </w:rPr>
        <w:t xml:space="preserve"> представляет собой белковый комплекс, который функционирует как протонная помпа, таким образом,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является ингибитором протонной помпы в желудке и блокирует финальную стадию продукции кислоты. Данный эффект является </w:t>
      </w:r>
      <w:proofErr w:type="spellStart"/>
      <w:r w:rsidRPr="00A05FCA">
        <w:rPr>
          <w:rFonts w:eastAsia="Calibri"/>
        </w:rPr>
        <w:t>дозозависимым</w:t>
      </w:r>
      <w:proofErr w:type="spellEnd"/>
      <w:r w:rsidRPr="00A05FCA">
        <w:rPr>
          <w:rFonts w:eastAsia="Calibri"/>
        </w:rPr>
        <w:t xml:space="preserve"> и приводит к подавлению как базальной, так и стимулируемой секреции кислоты независимо от раздражителя.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не обладает антихолинергическими свойствами.</w:t>
      </w:r>
    </w:p>
    <w:p w14:paraId="668BD313" w14:textId="77777777" w:rsidR="005222DD" w:rsidRPr="00A05FCA" w:rsidRDefault="005222DD" w:rsidP="005F4FD6">
      <w:pPr>
        <w:pStyle w:val="Heading3"/>
        <w:ind w:left="0"/>
        <w:rPr>
          <w:rFonts w:ascii="Times New Roman" w:eastAsia="Calibri" w:hAnsi="Times New Roman"/>
          <w:bCs/>
          <w:i/>
          <w:szCs w:val="24"/>
        </w:rPr>
      </w:pPr>
      <w:proofErr w:type="spellStart"/>
      <w:r w:rsidRPr="00A05FCA">
        <w:rPr>
          <w:rFonts w:ascii="Times New Roman" w:eastAsia="Calibri" w:hAnsi="Times New Roman"/>
          <w:bCs/>
          <w:i/>
          <w:szCs w:val="24"/>
        </w:rPr>
        <w:t>Антисекреторное</w:t>
      </w:r>
      <w:proofErr w:type="spellEnd"/>
      <w:r w:rsidRPr="00A05FCA">
        <w:rPr>
          <w:rFonts w:ascii="Times New Roman" w:eastAsia="Calibri" w:hAnsi="Times New Roman"/>
          <w:bCs/>
          <w:i/>
          <w:szCs w:val="24"/>
        </w:rPr>
        <w:t xml:space="preserve"> действие</w:t>
      </w:r>
    </w:p>
    <w:p w14:paraId="1D2D6FEC" w14:textId="685E07F1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После перорального приема 20 мг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</w:t>
      </w:r>
      <w:proofErr w:type="spellStart"/>
      <w:r w:rsidRPr="00A05FCA">
        <w:rPr>
          <w:rFonts w:eastAsia="Calibri"/>
        </w:rPr>
        <w:t>антисекреторный</w:t>
      </w:r>
      <w:proofErr w:type="spellEnd"/>
      <w:r w:rsidRPr="00A05FCA">
        <w:rPr>
          <w:rFonts w:eastAsia="Calibri"/>
        </w:rPr>
        <w:t xml:space="preserve"> эффект развивается в течение часа. Ингибирование базальной и стимулируемой секреции кислоты через 23 часа после приема первой дозы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составляет 69</w:t>
      </w:r>
      <w:r w:rsidR="005F4FD6">
        <w:rPr>
          <w:rFonts w:eastAsia="Calibri"/>
        </w:rPr>
        <w:t xml:space="preserve"> </w:t>
      </w:r>
      <w:r w:rsidRPr="00A05FCA">
        <w:rPr>
          <w:rFonts w:eastAsia="Calibri"/>
        </w:rPr>
        <w:t>% и 82</w:t>
      </w:r>
      <w:r w:rsidR="005F4FD6">
        <w:rPr>
          <w:rFonts w:eastAsia="Calibri"/>
        </w:rPr>
        <w:t xml:space="preserve"> </w:t>
      </w:r>
      <w:r w:rsidRPr="00A05FCA">
        <w:rPr>
          <w:rFonts w:eastAsia="Calibri"/>
        </w:rPr>
        <w:t xml:space="preserve">% соответственно, и продолжается до 48 часов. Такая продолжительность фармакодинамического действия намного превышает предсказуемое по периоду полувыведения (примерно один час). Данный эффект может быть </w:t>
      </w:r>
      <w:r w:rsidRPr="00A05FCA">
        <w:rPr>
          <w:rFonts w:eastAsia="Calibri"/>
        </w:rPr>
        <w:lastRenderedPageBreak/>
        <w:t xml:space="preserve">объяснен продолжительным связыванием лекарственного вещества с H+/K+ </w:t>
      </w:r>
      <w:proofErr w:type="spellStart"/>
      <w:r w:rsidRPr="00A05FCA">
        <w:rPr>
          <w:rFonts w:eastAsia="Calibri"/>
        </w:rPr>
        <w:t>АТФазой</w:t>
      </w:r>
      <w:proofErr w:type="spellEnd"/>
      <w:r w:rsidRPr="00A05FCA">
        <w:rPr>
          <w:rFonts w:eastAsia="Calibri"/>
        </w:rPr>
        <w:t xml:space="preserve"> париетальных клеток желудка. Величина ингибирующего действия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на секрецию кислоты достигает плато после трех дней приема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натрия. При прекращении приема секреторная активность восстанавливается в течение 1-2 дней.</w:t>
      </w:r>
    </w:p>
    <w:p w14:paraId="732B84E0" w14:textId="7A63A8E6" w:rsidR="005222DD" w:rsidRPr="00A05FCA" w:rsidRDefault="005222DD" w:rsidP="005F4FD6">
      <w:pPr>
        <w:pStyle w:val="Heading3"/>
        <w:ind w:left="0"/>
        <w:rPr>
          <w:rFonts w:ascii="Times New Roman" w:eastAsia="Calibri" w:hAnsi="Times New Roman"/>
          <w:bCs/>
          <w:i/>
          <w:szCs w:val="24"/>
        </w:rPr>
      </w:pPr>
      <w:r w:rsidRPr="00A05FCA">
        <w:rPr>
          <w:rFonts w:ascii="Times New Roman" w:eastAsia="Calibri" w:hAnsi="Times New Roman"/>
          <w:bCs/>
          <w:i/>
          <w:szCs w:val="24"/>
        </w:rPr>
        <w:t xml:space="preserve">Влияние на уровень </w:t>
      </w:r>
      <w:proofErr w:type="spellStart"/>
      <w:r w:rsidRPr="00A05FCA">
        <w:rPr>
          <w:rFonts w:ascii="Times New Roman" w:eastAsia="Calibri" w:hAnsi="Times New Roman"/>
          <w:bCs/>
          <w:i/>
          <w:szCs w:val="24"/>
        </w:rPr>
        <w:t>гастрина</w:t>
      </w:r>
      <w:proofErr w:type="spellEnd"/>
      <w:r w:rsidRPr="00A05FCA">
        <w:rPr>
          <w:rFonts w:ascii="Times New Roman" w:eastAsia="Calibri" w:hAnsi="Times New Roman"/>
          <w:bCs/>
          <w:i/>
          <w:szCs w:val="24"/>
        </w:rPr>
        <w:t xml:space="preserve"> в </w:t>
      </w:r>
      <w:r w:rsidR="00F148DC">
        <w:rPr>
          <w:rFonts w:ascii="Times New Roman" w:eastAsia="Calibri" w:hAnsi="Times New Roman"/>
          <w:bCs/>
          <w:i/>
          <w:szCs w:val="24"/>
        </w:rPr>
        <w:t>сыворотке</w:t>
      </w:r>
    </w:p>
    <w:p w14:paraId="679584E7" w14:textId="5C538586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В ходе клинических исследований пациенты принимали 10 или 20 мг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ежедневно при продолжительности лечения до 43 месяцев. Уровень </w:t>
      </w:r>
      <w:proofErr w:type="spellStart"/>
      <w:r w:rsidRPr="00A05FCA">
        <w:rPr>
          <w:rFonts w:eastAsia="Calibri"/>
        </w:rPr>
        <w:t>гастрина</w:t>
      </w:r>
      <w:proofErr w:type="spellEnd"/>
      <w:r w:rsidRPr="00A05FCA">
        <w:rPr>
          <w:rFonts w:eastAsia="Calibri"/>
        </w:rPr>
        <w:t xml:space="preserve"> в </w:t>
      </w:r>
      <w:r w:rsidR="00F148DC">
        <w:rPr>
          <w:rFonts w:eastAsia="Calibri"/>
        </w:rPr>
        <w:t>сыворотке</w:t>
      </w:r>
      <w:r w:rsidRPr="00A05FCA">
        <w:rPr>
          <w:rFonts w:eastAsia="Calibri"/>
        </w:rPr>
        <w:t xml:space="preserve"> был повышен первые 2-8 недель, что отражает ингибирующее действие на секрецию кислоты. Концентрация </w:t>
      </w:r>
      <w:proofErr w:type="spellStart"/>
      <w:r w:rsidRPr="00A05FCA">
        <w:rPr>
          <w:rFonts w:eastAsia="Calibri"/>
        </w:rPr>
        <w:t>гастрина</w:t>
      </w:r>
      <w:proofErr w:type="spellEnd"/>
      <w:r w:rsidRPr="00A05FCA">
        <w:rPr>
          <w:rFonts w:eastAsia="Calibri"/>
        </w:rPr>
        <w:t xml:space="preserve"> возвращалась к исходному уровню обычно в течение 1-2 недель после прекращения лечения.</w:t>
      </w:r>
    </w:p>
    <w:p w14:paraId="6E1871C0" w14:textId="0B365D32" w:rsidR="005222DD" w:rsidRPr="00A05FCA" w:rsidRDefault="005222DD" w:rsidP="005F4FD6">
      <w:pPr>
        <w:pStyle w:val="Heading3"/>
        <w:ind w:left="0"/>
        <w:rPr>
          <w:rFonts w:ascii="Times New Roman" w:eastAsia="Calibri" w:hAnsi="Times New Roman"/>
          <w:bCs/>
          <w:i/>
          <w:szCs w:val="24"/>
        </w:rPr>
      </w:pPr>
      <w:r w:rsidRPr="00A05FCA">
        <w:rPr>
          <w:rFonts w:ascii="Times New Roman" w:eastAsia="Calibri" w:hAnsi="Times New Roman"/>
          <w:bCs/>
          <w:i/>
          <w:szCs w:val="24"/>
        </w:rPr>
        <w:t xml:space="preserve">Влияние на </w:t>
      </w:r>
      <w:proofErr w:type="spellStart"/>
      <w:r w:rsidR="00F148DC" w:rsidRPr="00AE078E">
        <w:rPr>
          <w:rFonts w:ascii="Times New Roman" w:hAnsi="Times New Roman"/>
          <w:i/>
          <w:iCs/>
          <w:szCs w:val="24"/>
        </w:rPr>
        <w:t>энтерохрома</w:t>
      </w:r>
      <w:r w:rsidR="00F148DC">
        <w:rPr>
          <w:rFonts w:ascii="Times New Roman" w:hAnsi="Times New Roman"/>
          <w:i/>
          <w:iCs/>
          <w:szCs w:val="24"/>
        </w:rPr>
        <w:t>ф</w:t>
      </w:r>
      <w:r w:rsidR="00F148DC" w:rsidRPr="00AE078E">
        <w:rPr>
          <w:rFonts w:ascii="Times New Roman" w:hAnsi="Times New Roman"/>
          <w:i/>
          <w:iCs/>
          <w:szCs w:val="24"/>
        </w:rPr>
        <w:t>финоподобные</w:t>
      </w:r>
      <w:proofErr w:type="spellEnd"/>
      <w:r w:rsidR="00F148DC">
        <w:rPr>
          <w:rFonts w:ascii="Times New Roman" w:hAnsi="Times New Roman"/>
          <w:i/>
          <w:iCs/>
          <w:szCs w:val="24"/>
        </w:rPr>
        <w:t xml:space="preserve"> </w:t>
      </w:r>
      <w:r w:rsidRPr="00A05FCA">
        <w:rPr>
          <w:rFonts w:ascii="Times New Roman" w:eastAsia="Calibri" w:hAnsi="Times New Roman"/>
          <w:bCs/>
          <w:i/>
          <w:szCs w:val="24"/>
        </w:rPr>
        <w:t>клетки</w:t>
      </w:r>
    </w:p>
    <w:p w14:paraId="3AD0B8CE" w14:textId="0719D368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При исследовании образцов биопсии желудка человека из области </w:t>
      </w:r>
      <w:proofErr w:type="spellStart"/>
      <w:r w:rsidR="00F65200" w:rsidRPr="00F65200">
        <w:rPr>
          <w:rFonts w:eastAsia="Calibri"/>
        </w:rPr>
        <w:t>антрального</w:t>
      </w:r>
      <w:proofErr w:type="spellEnd"/>
      <w:r w:rsidR="00F65200" w:rsidRPr="00F65200">
        <w:rPr>
          <w:rFonts w:eastAsia="Calibri"/>
        </w:rPr>
        <w:t xml:space="preserve"> (нижнего) отдела желудка</w:t>
      </w:r>
      <w:r w:rsidRPr="00A05FCA">
        <w:rPr>
          <w:rFonts w:eastAsia="Calibri"/>
        </w:rPr>
        <w:t xml:space="preserve"> и дна желудка </w:t>
      </w:r>
      <w:r w:rsidR="00F148DC">
        <w:t xml:space="preserve">более чем </w:t>
      </w:r>
      <w:r w:rsidRPr="00A05FCA">
        <w:rPr>
          <w:rFonts w:eastAsia="Calibri"/>
        </w:rPr>
        <w:t xml:space="preserve">500 пациентов, получавших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или препарат сравнения в течение 8 недель, устойчивые </w:t>
      </w:r>
      <w:r w:rsidR="00F148DC" w:rsidRPr="00AE078E">
        <w:t>изменения морфологической структур</w:t>
      </w:r>
      <w:r w:rsidR="00F148DC">
        <w:t>ы</w:t>
      </w:r>
      <w:r w:rsidR="00F148DC" w:rsidRPr="00AE078E">
        <w:t xml:space="preserve"> </w:t>
      </w:r>
      <w:proofErr w:type="spellStart"/>
      <w:r w:rsidR="00F148DC" w:rsidRPr="00AE078E">
        <w:t>энтерохрома</w:t>
      </w:r>
      <w:r w:rsidR="00F148DC">
        <w:t>ф</w:t>
      </w:r>
      <w:r w:rsidR="00F148DC" w:rsidRPr="00AE078E">
        <w:t>финоподобных</w:t>
      </w:r>
      <w:proofErr w:type="spellEnd"/>
      <w:r w:rsidR="00F148DC" w:rsidRPr="00AE078E">
        <w:t xml:space="preserve"> клеток, степени выраженности гастрита</w:t>
      </w:r>
      <w:r w:rsidRPr="00A05FCA">
        <w:rPr>
          <w:rFonts w:eastAsia="Calibri"/>
        </w:rPr>
        <w:t>, частот</w:t>
      </w:r>
      <w:r w:rsidR="00CC3EBE">
        <w:rPr>
          <w:rFonts w:eastAsia="Calibri"/>
        </w:rPr>
        <w:t>ы</w:t>
      </w:r>
      <w:r w:rsidRPr="00A05FCA">
        <w:rPr>
          <w:rFonts w:eastAsia="Calibri"/>
        </w:rPr>
        <w:t xml:space="preserve"> атрофического гастрита, кишечной метаплазии или распространени</w:t>
      </w:r>
      <w:r w:rsidR="00CC3EBE">
        <w:rPr>
          <w:rFonts w:eastAsia="Calibri"/>
        </w:rPr>
        <w:t>я</w:t>
      </w:r>
      <w:r w:rsidRPr="00A05FCA">
        <w:rPr>
          <w:rFonts w:eastAsia="Calibri"/>
        </w:rPr>
        <w:t xml:space="preserve"> инфекции </w:t>
      </w:r>
      <w:proofErr w:type="spellStart"/>
      <w:r w:rsidRPr="00354ADA">
        <w:rPr>
          <w:rFonts w:eastAsia="Calibri"/>
          <w:i/>
        </w:rPr>
        <w:t>Helicobacter</w:t>
      </w:r>
      <w:proofErr w:type="spellEnd"/>
      <w:r w:rsidRPr="00354ADA">
        <w:rPr>
          <w:rFonts w:eastAsia="Calibri"/>
          <w:i/>
        </w:rPr>
        <w:t xml:space="preserve"> </w:t>
      </w:r>
      <w:proofErr w:type="spellStart"/>
      <w:r w:rsidRPr="00354ADA">
        <w:rPr>
          <w:rFonts w:eastAsia="Calibri"/>
          <w:i/>
        </w:rPr>
        <w:t>pylori</w:t>
      </w:r>
      <w:proofErr w:type="spellEnd"/>
      <w:r w:rsidRPr="00A05FCA">
        <w:rPr>
          <w:rFonts w:eastAsia="Calibri"/>
        </w:rPr>
        <w:t xml:space="preserve"> не были обнаружены.</w:t>
      </w:r>
    </w:p>
    <w:p w14:paraId="744E7998" w14:textId="77777777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В исследовании с участием более 400 пациентов, получавших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(10 мг/день или 20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мг/день) продолжительностью до 1 года, частота гиперплазии была низкой и сравнимой с таковой для </w:t>
      </w:r>
      <w:proofErr w:type="spellStart"/>
      <w:r w:rsidRPr="00A05FCA">
        <w:rPr>
          <w:rFonts w:eastAsia="Calibri"/>
        </w:rPr>
        <w:t>омепразола</w:t>
      </w:r>
      <w:proofErr w:type="spellEnd"/>
      <w:r w:rsidRPr="00A05FCA">
        <w:rPr>
          <w:rFonts w:eastAsia="Calibri"/>
        </w:rPr>
        <w:t xml:space="preserve"> (20 мг/кг). Не был зарегистрирован ни один случай </w:t>
      </w:r>
      <w:proofErr w:type="spellStart"/>
      <w:r w:rsidRPr="00A05FCA">
        <w:rPr>
          <w:rFonts w:eastAsia="Calibri"/>
        </w:rPr>
        <w:t>аденоматозных</w:t>
      </w:r>
      <w:proofErr w:type="spellEnd"/>
      <w:r w:rsidRPr="00A05FCA">
        <w:rPr>
          <w:rFonts w:eastAsia="Calibri"/>
        </w:rPr>
        <w:t xml:space="preserve"> изменений или </w:t>
      </w:r>
      <w:proofErr w:type="spellStart"/>
      <w:r w:rsidRPr="00A05FCA">
        <w:rPr>
          <w:rFonts w:eastAsia="Calibri"/>
        </w:rPr>
        <w:t>карциноидных</w:t>
      </w:r>
      <w:proofErr w:type="spellEnd"/>
      <w:r w:rsidRPr="00A05FCA">
        <w:rPr>
          <w:rFonts w:eastAsia="Calibri"/>
        </w:rPr>
        <w:t xml:space="preserve"> опухолей, наблюдавшихся у крыс.</w:t>
      </w:r>
    </w:p>
    <w:p w14:paraId="019BB65B" w14:textId="77777777" w:rsidR="005222DD" w:rsidRPr="00A05FCA" w:rsidRDefault="005222DD" w:rsidP="00354ADA">
      <w:pPr>
        <w:pStyle w:val="Heading3"/>
        <w:ind w:left="0"/>
        <w:rPr>
          <w:rFonts w:ascii="Times New Roman" w:eastAsia="Calibri" w:hAnsi="Times New Roman"/>
          <w:bCs/>
          <w:i/>
          <w:szCs w:val="24"/>
        </w:rPr>
      </w:pPr>
      <w:r w:rsidRPr="00A05FCA">
        <w:rPr>
          <w:rFonts w:ascii="Times New Roman" w:eastAsia="Calibri" w:hAnsi="Times New Roman"/>
          <w:bCs/>
          <w:i/>
          <w:szCs w:val="24"/>
        </w:rPr>
        <w:t xml:space="preserve">Другие эффекты </w:t>
      </w:r>
    </w:p>
    <w:p w14:paraId="4DAF7788" w14:textId="77777777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Системные эффекты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в отношении центральной нервной системы, сердечно-сосудистой или дыхательной систем в настоящий момент не обнаружены. Было показано, что </w:t>
      </w: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натрия при пероральном приеме в дозе 20 мг в течение 2 недель не оказывает влияния на функцию щитовидной железы, углеводный обмен, уровень паратиреоидного гормона в крови, а также на уровень кортизола, эстрогенов, тестостерона, пролактина, глюкагона, фолликулостимулирующего гормона (ФСГ), </w:t>
      </w:r>
      <w:proofErr w:type="spellStart"/>
      <w:r w:rsidRPr="00A05FCA">
        <w:rPr>
          <w:rFonts w:eastAsia="Calibri"/>
        </w:rPr>
        <w:t>лютеинизирующего</w:t>
      </w:r>
      <w:proofErr w:type="spellEnd"/>
      <w:r w:rsidRPr="00A05FCA">
        <w:rPr>
          <w:rFonts w:eastAsia="Calibri"/>
        </w:rPr>
        <w:t xml:space="preserve"> гормона (ЛГ), ренина, альдостерона и соматотропного гормона.</w:t>
      </w:r>
    </w:p>
    <w:p w14:paraId="5F897845" w14:textId="77777777" w:rsidR="005222DD" w:rsidRPr="00354ADA" w:rsidRDefault="005222DD" w:rsidP="00F20491">
      <w:pPr>
        <w:pStyle w:val="Heading2"/>
        <w:spacing w:before="120"/>
        <w:rPr>
          <w:rFonts w:ascii="Times New Roman" w:eastAsia="Calibri" w:hAnsi="Times New Roman"/>
          <w:bCs/>
          <w:i/>
          <w:iCs/>
          <w:szCs w:val="24"/>
          <w:u w:val="single"/>
        </w:rPr>
      </w:pPr>
      <w:proofErr w:type="spellStart"/>
      <w:r w:rsidRPr="00354ADA">
        <w:rPr>
          <w:rFonts w:ascii="Times New Roman" w:eastAsia="Calibri" w:hAnsi="Times New Roman"/>
          <w:bCs/>
          <w:i/>
          <w:iCs/>
          <w:szCs w:val="24"/>
          <w:u w:val="single"/>
        </w:rPr>
        <w:t>Фармакокинетика</w:t>
      </w:r>
      <w:proofErr w:type="spellEnd"/>
    </w:p>
    <w:p w14:paraId="37D7C888" w14:textId="77777777" w:rsidR="005222DD" w:rsidRPr="00A05FCA" w:rsidRDefault="005222DD" w:rsidP="00F20491">
      <w:pPr>
        <w:jc w:val="both"/>
        <w:rPr>
          <w:rFonts w:eastAsia="Calibri"/>
          <w:b/>
          <w:i/>
        </w:rPr>
      </w:pPr>
      <w:r w:rsidRPr="00A05FCA">
        <w:rPr>
          <w:rFonts w:eastAsia="Calibri"/>
          <w:b/>
          <w:i/>
        </w:rPr>
        <w:t xml:space="preserve">Абсорбция </w:t>
      </w:r>
    </w:p>
    <w:p w14:paraId="6C34DE99" w14:textId="37ED8966" w:rsidR="005222DD" w:rsidRPr="00A05FCA" w:rsidRDefault="005222DD" w:rsidP="00F20491">
      <w:pPr>
        <w:jc w:val="both"/>
        <w:rPr>
          <w:rFonts w:eastAsia="Calibri"/>
        </w:rPr>
      </w:pPr>
      <w:proofErr w:type="spellStart"/>
      <w:r w:rsidRPr="00A05FCA">
        <w:rPr>
          <w:rFonts w:eastAsia="Calibri"/>
        </w:rPr>
        <w:t>Рабепразол</w:t>
      </w:r>
      <w:proofErr w:type="spellEnd"/>
      <w:r w:rsidRPr="00A05FCA">
        <w:rPr>
          <w:rFonts w:eastAsia="Calibri"/>
        </w:rPr>
        <w:t xml:space="preserve"> быстро абсорбируется из кишечника, и его пиковые концентрации в плазме достигаются примерно через 3,5 ч после приема дозы в 20 мг. Изменение пиковых концентраций в плазме (</w:t>
      </w:r>
      <w:proofErr w:type="spellStart"/>
      <w:r w:rsidRPr="00A05FCA">
        <w:rPr>
          <w:rFonts w:eastAsia="Calibri"/>
        </w:rPr>
        <w:t>Сmax</w:t>
      </w:r>
      <w:proofErr w:type="spellEnd"/>
      <w:r w:rsidRPr="00A05FCA">
        <w:rPr>
          <w:rFonts w:eastAsia="Calibri"/>
        </w:rPr>
        <w:t xml:space="preserve">) и значений площади под кривой «концентрация-время» (AUC)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носят линейный характер в диапазоне доз от 10 до 40 мг. Абсолютная </w:t>
      </w:r>
      <w:proofErr w:type="spellStart"/>
      <w:r w:rsidRPr="00A05FCA">
        <w:rPr>
          <w:rFonts w:eastAsia="Calibri"/>
        </w:rPr>
        <w:t>биодоступность</w:t>
      </w:r>
      <w:proofErr w:type="spellEnd"/>
      <w:r w:rsidRPr="00A05FCA">
        <w:rPr>
          <w:rFonts w:eastAsia="Calibri"/>
        </w:rPr>
        <w:t xml:space="preserve"> после перорального приема 20 мг (по сравнению с внутривенным введением) составляет около 52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%. Кроме того, </w:t>
      </w:r>
      <w:proofErr w:type="spellStart"/>
      <w:r w:rsidRPr="00A05FCA">
        <w:rPr>
          <w:rFonts w:eastAsia="Calibri"/>
        </w:rPr>
        <w:t>биодоступность</w:t>
      </w:r>
      <w:proofErr w:type="spellEnd"/>
      <w:r w:rsidRPr="00A05FCA">
        <w:rPr>
          <w:rFonts w:eastAsia="Calibri"/>
        </w:rPr>
        <w:t xml:space="preserve"> не изменяется при многократном приеме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. У здоровых добровольцев период полувыведения из плазмы составляет около 1 ч (варьируя от 0,7 до 1,5 ч), а суммарный клиренс составляет 3,8 мл/мин/кг. </w:t>
      </w:r>
      <w:r w:rsidR="00F148DC" w:rsidRPr="00AE078E">
        <w:t xml:space="preserve">У пациентов с хроническим </w:t>
      </w:r>
      <w:r w:rsidR="00F148DC">
        <w:t>заболеванием</w:t>
      </w:r>
      <w:r w:rsidR="00F148DC" w:rsidRPr="00AE078E">
        <w:t xml:space="preserve"> печени AUC увеличена вдвое по сравнению со здоровыми добровольцами, что </w:t>
      </w:r>
      <w:r w:rsidR="00F148DC">
        <w:t>отражает</w:t>
      </w:r>
      <w:r w:rsidR="00F148DC" w:rsidRPr="00AE078E">
        <w:t xml:space="preserve"> снижени</w:t>
      </w:r>
      <w:r w:rsidR="00F148DC">
        <w:t>е</w:t>
      </w:r>
      <w:r w:rsidR="00F148DC" w:rsidRPr="00AE078E">
        <w:t xml:space="preserve"> метаболизма </w:t>
      </w:r>
      <w:r w:rsidRPr="00A05FCA">
        <w:rPr>
          <w:rFonts w:eastAsia="Calibri"/>
        </w:rPr>
        <w:t xml:space="preserve">первого прохождения, а период полувыведения из плазмы увеличен в 2-3 раза. Ни время приема препарата в течение суток, ни антациды не влияют на абсорбцию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. Прием препарата с жирной пищей замедляет абсорбцию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 4 часа и более, однако ни </w:t>
      </w:r>
      <w:proofErr w:type="spellStart"/>
      <w:r w:rsidRPr="00A05FCA">
        <w:rPr>
          <w:rFonts w:eastAsia="Calibri"/>
        </w:rPr>
        <w:t>Сmax</w:t>
      </w:r>
      <w:proofErr w:type="spellEnd"/>
      <w:r w:rsidRPr="00A05FCA">
        <w:rPr>
          <w:rFonts w:eastAsia="Calibri"/>
        </w:rPr>
        <w:t xml:space="preserve">, ни степень абсорбции </w:t>
      </w:r>
      <w:r w:rsidR="00CD36EE">
        <w:t>(</w:t>
      </w:r>
      <w:r w:rsidR="00CD36EE">
        <w:rPr>
          <w:lang w:val="en-US"/>
        </w:rPr>
        <w:t>AUC</w:t>
      </w:r>
      <w:r w:rsidR="00CD36EE">
        <w:t>)</w:t>
      </w:r>
      <w:r w:rsidR="00CD36EE" w:rsidRPr="00AE078E">
        <w:t xml:space="preserve"> </w:t>
      </w:r>
      <w:r w:rsidRPr="00A05FCA">
        <w:rPr>
          <w:rFonts w:eastAsia="Calibri"/>
        </w:rPr>
        <w:t>не изменяются.</w:t>
      </w:r>
    </w:p>
    <w:p w14:paraId="434C8194" w14:textId="77777777" w:rsidR="005222DD" w:rsidRPr="00A05FCA" w:rsidRDefault="005222DD" w:rsidP="00F20491">
      <w:pPr>
        <w:jc w:val="both"/>
        <w:rPr>
          <w:rFonts w:eastAsia="Calibri"/>
          <w:b/>
          <w:i/>
        </w:rPr>
      </w:pPr>
      <w:r w:rsidRPr="00A05FCA">
        <w:rPr>
          <w:rFonts w:eastAsia="Calibri"/>
          <w:b/>
          <w:i/>
        </w:rPr>
        <w:t xml:space="preserve">Распределение </w:t>
      </w:r>
    </w:p>
    <w:p w14:paraId="6913D71E" w14:textId="77777777" w:rsidR="005222DD" w:rsidRPr="00A05FCA" w:rsidRDefault="005222DD" w:rsidP="00F20491">
      <w:pPr>
        <w:jc w:val="both"/>
        <w:rPr>
          <w:rFonts w:eastAsia="Calibri"/>
        </w:rPr>
      </w:pPr>
      <w:r w:rsidRPr="00A05FCA">
        <w:rPr>
          <w:rFonts w:eastAsia="Calibri"/>
        </w:rPr>
        <w:t xml:space="preserve">У человека степень связывания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с белками плазмы составляет около 97 %.</w:t>
      </w:r>
    </w:p>
    <w:p w14:paraId="39307743" w14:textId="77777777" w:rsidR="005222DD" w:rsidRPr="00A05FCA" w:rsidRDefault="005222DD" w:rsidP="00F20491">
      <w:pPr>
        <w:jc w:val="both"/>
        <w:rPr>
          <w:rFonts w:eastAsia="Calibri"/>
          <w:b/>
          <w:i/>
        </w:rPr>
      </w:pPr>
      <w:r w:rsidRPr="00A05FCA">
        <w:rPr>
          <w:rFonts w:eastAsia="Calibri"/>
          <w:b/>
          <w:i/>
        </w:rPr>
        <w:t xml:space="preserve">Метаболизм и выведение </w:t>
      </w:r>
    </w:p>
    <w:p w14:paraId="135C0542" w14:textId="77777777" w:rsidR="005222DD" w:rsidRPr="005222DD" w:rsidRDefault="005222DD" w:rsidP="00F20491">
      <w:pPr>
        <w:jc w:val="both"/>
        <w:rPr>
          <w:rFonts w:eastAsia="Calibri"/>
          <w:i/>
        </w:rPr>
      </w:pPr>
      <w:r w:rsidRPr="005222DD">
        <w:rPr>
          <w:rFonts w:eastAsia="Calibri"/>
          <w:i/>
        </w:rPr>
        <w:t>У здоровых людей</w:t>
      </w:r>
    </w:p>
    <w:p w14:paraId="4C426621" w14:textId="77777777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После приема однократной пероральной дозы 20 мг 14С-меченного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неизмененного препарата в моче найдено не было. Около 90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%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выводится с мочой </w:t>
      </w:r>
      <w:r w:rsidRPr="00A05FCA">
        <w:rPr>
          <w:rFonts w:eastAsia="Calibri"/>
        </w:rPr>
        <w:lastRenderedPageBreak/>
        <w:t xml:space="preserve">главным образом в виде двух метаболитов: </w:t>
      </w:r>
      <w:proofErr w:type="spellStart"/>
      <w:r w:rsidRPr="00A05FCA">
        <w:rPr>
          <w:rFonts w:eastAsia="Calibri"/>
        </w:rPr>
        <w:t>конъюгата</w:t>
      </w:r>
      <w:proofErr w:type="spellEnd"/>
      <w:r w:rsidRPr="00A05FCA">
        <w:rPr>
          <w:rFonts w:eastAsia="Calibri"/>
        </w:rPr>
        <w:t xml:space="preserve"> </w:t>
      </w:r>
      <w:proofErr w:type="spellStart"/>
      <w:r w:rsidRPr="00354ADA">
        <w:rPr>
          <w:rFonts w:eastAsia="Calibri"/>
          <w:iCs/>
        </w:rPr>
        <w:t>меркаптуровой</w:t>
      </w:r>
      <w:proofErr w:type="spellEnd"/>
      <w:r w:rsidRPr="00354ADA">
        <w:rPr>
          <w:rFonts w:eastAsia="Calibri"/>
          <w:iCs/>
        </w:rPr>
        <w:t xml:space="preserve"> кислоты</w:t>
      </w:r>
      <w:r w:rsidRPr="00A05FCA">
        <w:rPr>
          <w:rFonts w:eastAsia="Calibri"/>
        </w:rPr>
        <w:t xml:space="preserve"> (М5) и карбоновой кислоты (М6), а также в форме двух неизвестных метаболитов, выявленных в ходе токсикологического анализа. Оставшаяся часть принятого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выводится с калом. </w:t>
      </w:r>
    </w:p>
    <w:p w14:paraId="2A54DFD3" w14:textId="20B16703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>Суммарное выведение составляет 99,8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%. Эти данные свидетельствуют о небольшом выведении метаболитов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с желчью. Основным метаболитом является </w:t>
      </w:r>
      <w:proofErr w:type="spellStart"/>
      <w:r w:rsidRPr="00A05FCA">
        <w:rPr>
          <w:rFonts w:eastAsia="Calibri"/>
        </w:rPr>
        <w:t>тиоэфир</w:t>
      </w:r>
      <w:proofErr w:type="spellEnd"/>
      <w:r w:rsidRPr="00A05FCA">
        <w:rPr>
          <w:rFonts w:eastAsia="Calibri"/>
        </w:rPr>
        <w:t xml:space="preserve"> (М1). Единственным активным метаболитом является </w:t>
      </w:r>
      <w:proofErr w:type="spellStart"/>
      <w:r w:rsidR="00CD36EE" w:rsidRPr="00AE078E">
        <w:t>десметил</w:t>
      </w:r>
      <w:r w:rsidR="00CD36EE">
        <w:t>ьный</w:t>
      </w:r>
      <w:proofErr w:type="spellEnd"/>
      <w:r w:rsidR="00CD36EE">
        <w:t xml:space="preserve"> метаболит </w:t>
      </w:r>
      <w:r w:rsidRPr="00A05FCA">
        <w:rPr>
          <w:rFonts w:eastAsia="Calibri"/>
        </w:rPr>
        <w:t xml:space="preserve">(М3), однако он наблюдался в низкой концентрации только у одного участника исследования после приема 80 мг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. </w:t>
      </w:r>
    </w:p>
    <w:p w14:paraId="151B6158" w14:textId="77777777" w:rsidR="005222DD" w:rsidRPr="00A05FCA" w:rsidRDefault="005222DD" w:rsidP="00F20491">
      <w:pPr>
        <w:jc w:val="both"/>
        <w:rPr>
          <w:rFonts w:eastAsia="Calibri"/>
          <w:b/>
          <w:bCs/>
          <w:i/>
        </w:rPr>
      </w:pPr>
      <w:r w:rsidRPr="005222DD">
        <w:rPr>
          <w:rFonts w:eastAsia="Calibri"/>
          <w:i/>
        </w:rPr>
        <w:t>Терминальная стадия почечной недостаточности</w:t>
      </w:r>
    </w:p>
    <w:p w14:paraId="56722F94" w14:textId="10475A37" w:rsidR="005222DD" w:rsidRPr="00A05FCA" w:rsidRDefault="005222DD" w:rsidP="00F20491">
      <w:pPr>
        <w:autoSpaceDE w:val="0"/>
        <w:autoSpaceDN w:val="0"/>
        <w:adjustRightInd w:val="0"/>
        <w:jc w:val="both"/>
        <w:rPr>
          <w:rFonts w:eastAsia="Calibri"/>
        </w:rPr>
      </w:pPr>
      <w:r w:rsidRPr="00A05FCA">
        <w:rPr>
          <w:rFonts w:eastAsia="Calibri"/>
        </w:rPr>
        <w:t xml:space="preserve">У пациентов со стабильной почечной недостаточностью в терминальной стадии, которым необходим поддерживающий гемодиализ (клиренс </w:t>
      </w:r>
      <w:proofErr w:type="spellStart"/>
      <w:r w:rsidRPr="00A05FCA">
        <w:rPr>
          <w:rFonts w:eastAsia="Calibri"/>
        </w:rPr>
        <w:t>креатинина</w:t>
      </w:r>
      <w:proofErr w:type="spellEnd"/>
      <w:r w:rsidRPr="00A05FCA">
        <w:rPr>
          <w:rFonts w:eastAsia="Calibri"/>
        </w:rPr>
        <w:t xml:space="preserve"> &lt;5</w:t>
      </w:r>
      <w:r w:rsidR="00360DC2">
        <w:rPr>
          <w:rFonts w:eastAsia="Calibri"/>
        </w:rPr>
        <w:t xml:space="preserve"> </w:t>
      </w:r>
      <w:r w:rsidRPr="00A05FCA">
        <w:rPr>
          <w:rFonts w:eastAsia="Calibri"/>
        </w:rPr>
        <w:t>мл/мин/1,73</w:t>
      </w:r>
      <w:r w:rsidR="00360DC2">
        <w:rPr>
          <w:rFonts w:eastAsia="Calibri"/>
        </w:rPr>
        <w:t xml:space="preserve"> </w:t>
      </w:r>
      <w:r w:rsidRPr="00A05FCA">
        <w:rPr>
          <w:rFonts w:eastAsia="Calibri"/>
        </w:rPr>
        <w:t>м</w:t>
      </w:r>
      <w:r w:rsidRPr="00CD36EE">
        <w:rPr>
          <w:rFonts w:eastAsia="Calibri"/>
          <w:vertAlign w:val="superscript"/>
        </w:rPr>
        <w:t>2</w:t>
      </w:r>
      <w:r w:rsidRPr="00A05FCA">
        <w:rPr>
          <w:rFonts w:eastAsia="Calibri"/>
        </w:rPr>
        <w:t xml:space="preserve">), выведение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натрия схоже с таковым </w:t>
      </w:r>
      <w:r w:rsidR="00360DC2">
        <w:rPr>
          <w:rFonts w:eastAsia="Calibri"/>
        </w:rPr>
        <w:t>у</w:t>
      </w:r>
      <w:r w:rsidRPr="00A05FCA">
        <w:rPr>
          <w:rFonts w:eastAsia="Calibri"/>
        </w:rPr>
        <w:t xml:space="preserve"> здоровых добровольцев. AUC и </w:t>
      </w:r>
      <w:proofErr w:type="spellStart"/>
      <w:r w:rsidRPr="00A05FCA">
        <w:rPr>
          <w:rFonts w:eastAsia="Calibri"/>
        </w:rPr>
        <w:t>Сmах</w:t>
      </w:r>
      <w:proofErr w:type="spellEnd"/>
      <w:r w:rsidRPr="00A05FCA">
        <w:rPr>
          <w:rFonts w:eastAsia="Calibri"/>
        </w:rPr>
        <w:t xml:space="preserve"> у этих пациентов были примерно на 35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% ниже, чем у здоровых добровольцев. В среднем период полувыведения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составлял 0,82 ч у здоровых добровольцев, 0,95 ч у пациентов во время гемодиализа и 3,6 ч после гемодиализа. Клиренс препарата у пациентов с заболеваниями почек, нуждающихся в гемодиализе, был приблизительно в два раза выше, чем у здоровых добровольцев.</w:t>
      </w:r>
    </w:p>
    <w:p w14:paraId="75982CF6" w14:textId="77777777" w:rsidR="005222DD" w:rsidRPr="00A05FCA" w:rsidRDefault="005222DD" w:rsidP="00F20491">
      <w:pPr>
        <w:jc w:val="both"/>
        <w:rPr>
          <w:rFonts w:eastAsia="Calibri"/>
          <w:b/>
          <w:bCs/>
          <w:i/>
        </w:rPr>
      </w:pPr>
      <w:r w:rsidRPr="005222DD">
        <w:rPr>
          <w:rFonts w:eastAsia="Calibri"/>
          <w:i/>
        </w:rPr>
        <w:t>Хронический компенсированный цирроз</w:t>
      </w:r>
      <w:r w:rsidRPr="00A05FCA">
        <w:rPr>
          <w:rFonts w:eastAsia="Calibri"/>
          <w:b/>
          <w:bCs/>
          <w:i/>
        </w:rPr>
        <w:t xml:space="preserve"> </w:t>
      </w:r>
    </w:p>
    <w:p w14:paraId="6A01BE4B" w14:textId="24BDAB1E" w:rsidR="005222DD" w:rsidRPr="00A05FCA" w:rsidRDefault="00360DC2" w:rsidP="00F20491">
      <w:pPr>
        <w:autoSpaceDE w:val="0"/>
        <w:autoSpaceDN w:val="0"/>
        <w:adjustRightInd w:val="0"/>
        <w:jc w:val="both"/>
        <w:rPr>
          <w:rFonts w:eastAsia="Calibri"/>
        </w:rPr>
      </w:pPr>
      <w:r>
        <w:t>У п</w:t>
      </w:r>
      <w:r w:rsidRPr="00AE078E">
        <w:t>ациент</w:t>
      </w:r>
      <w:r>
        <w:t>ов</w:t>
      </w:r>
      <w:r w:rsidRPr="00AE078E">
        <w:t xml:space="preserve"> с хроническим компенсированным циррозом печени </w:t>
      </w:r>
      <w:r>
        <w:t xml:space="preserve">наблюдалась приемлемая переносимость терапии </w:t>
      </w:r>
      <w:proofErr w:type="spellStart"/>
      <w:r w:rsidRPr="00AE078E">
        <w:t>рабепразол</w:t>
      </w:r>
      <w:r>
        <w:t>ом</w:t>
      </w:r>
      <w:proofErr w:type="spellEnd"/>
      <w:r w:rsidRPr="00AE078E">
        <w:t xml:space="preserve"> натрия в дозе 20 мг 1 раз в день, хотя </w:t>
      </w:r>
      <w:r>
        <w:t xml:space="preserve">у них </w:t>
      </w:r>
      <w:r w:rsidRPr="00AE078E">
        <w:t xml:space="preserve">AUC </w:t>
      </w:r>
      <w:r>
        <w:t>была в 2 раза выше, а</w:t>
      </w:r>
      <w:r w:rsidRPr="00AE078E">
        <w:t xml:space="preserve"> </w:t>
      </w:r>
      <w:proofErr w:type="spellStart"/>
      <w:r w:rsidR="005222DD" w:rsidRPr="00A05FCA">
        <w:rPr>
          <w:rFonts w:eastAsia="Calibri"/>
        </w:rPr>
        <w:t>Cmax</w:t>
      </w:r>
      <w:proofErr w:type="spellEnd"/>
      <w:r w:rsidR="005222DD" w:rsidRPr="00A05FCA">
        <w:rPr>
          <w:rFonts w:eastAsia="Calibri"/>
        </w:rPr>
        <w:t xml:space="preserve"> увеличена на 50</w:t>
      </w:r>
      <w:r w:rsidR="00354ADA">
        <w:rPr>
          <w:rFonts w:eastAsia="Calibri"/>
        </w:rPr>
        <w:t xml:space="preserve"> </w:t>
      </w:r>
      <w:r w:rsidR="005222DD" w:rsidRPr="00A05FCA">
        <w:rPr>
          <w:rFonts w:eastAsia="Calibri"/>
        </w:rPr>
        <w:t>% по сравнению со здоровыми добровольцами соответствующего пола.</w:t>
      </w:r>
    </w:p>
    <w:p w14:paraId="5FEE36DC" w14:textId="77777777" w:rsidR="005222DD" w:rsidRPr="00A05FCA" w:rsidRDefault="005222DD" w:rsidP="00F20491">
      <w:pPr>
        <w:jc w:val="both"/>
        <w:rPr>
          <w:rFonts w:eastAsia="Calibri"/>
          <w:i/>
        </w:rPr>
      </w:pPr>
      <w:r w:rsidRPr="00A05FCA">
        <w:rPr>
          <w:rFonts w:eastAsia="Calibri"/>
          <w:i/>
        </w:rPr>
        <w:t>Пожилые пациенты</w:t>
      </w:r>
    </w:p>
    <w:p w14:paraId="50BB7A2D" w14:textId="77777777" w:rsidR="005222DD" w:rsidRPr="00A05FCA" w:rsidRDefault="005222DD" w:rsidP="00F20491">
      <w:pPr>
        <w:jc w:val="both"/>
        <w:rPr>
          <w:rFonts w:eastAsia="Calibri"/>
        </w:rPr>
      </w:pPr>
      <w:r w:rsidRPr="00A05FCA">
        <w:rPr>
          <w:rFonts w:eastAsia="Calibri"/>
        </w:rPr>
        <w:t xml:space="preserve">У пожилых пациентов элиминация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несколько замедлена. После 7 дней приема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по 20 мг в сутки у пожилых лиц AUC была примерно вдвое больше, а </w:t>
      </w:r>
      <w:proofErr w:type="spellStart"/>
      <w:r w:rsidRPr="00A05FCA">
        <w:rPr>
          <w:rFonts w:eastAsia="Calibri"/>
        </w:rPr>
        <w:t>Сmax</w:t>
      </w:r>
      <w:proofErr w:type="spellEnd"/>
      <w:r w:rsidRPr="00A05FCA">
        <w:rPr>
          <w:rFonts w:eastAsia="Calibri"/>
        </w:rPr>
        <w:t xml:space="preserve"> повышена на 60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 xml:space="preserve">% по сравнению с молодыми здоровыми добровольцами. Однако, признаков кумуляции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не отмечалось.</w:t>
      </w:r>
    </w:p>
    <w:p w14:paraId="434AEB89" w14:textId="77777777" w:rsidR="005222DD" w:rsidRPr="00A05FCA" w:rsidRDefault="005222DD" w:rsidP="00F20491">
      <w:pPr>
        <w:jc w:val="both"/>
        <w:rPr>
          <w:rFonts w:eastAsia="Calibri"/>
        </w:rPr>
      </w:pPr>
      <w:r w:rsidRPr="00354ADA">
        <w:rPr>
          <w:rFonts w:eastAsia="Calibri"/>
        </w:rPr>
        <w:t>CYP2C19</w:t>
      </w:r>
      <w:r w:rsidRPr="00A05FCA">
        <w:rPr>
          <w:rFonts w:eastAsia="Calibri"/>
        </w:rPr>
        <w:t xml:space="preserve"> </w:t>
      </w:r>
      <w:r w:rsidRPr="00A05FCA">
        <w:rPr>
          <w:rFonts w:eastAsia="Calibri"/>
          <w:i/>
        </w:rPr>
        <w:t>полиморфизм</w:t>
      </w:r>
    </w:p>
    <w:p w14:paraId="2C3AC2C8" w14:textId="77777777" w:rsidR="005222DD" w:rsidRPr="00A05FCA" w:rsidRDefault="005222DD" w:rsidP="00F20491">
      <w:pPr>
        <w:jc w:val="both"/>
        <w:rPr>
          <w:rFonts w:eastAsia="Calibri"/>
        </w:rPr>
      </w:pPr>
      <w:r w:rsidRPr="00A05FCA">
        <w:rPr>
          <w:rFonts w:eastAsia="Calibri"/>
        </w:rPr>
        <w:t xml:space="preserve">У пациентов с замедленным метаболизмом CYP2C19 после 7 дней приема </w:t>
      </w:r>
      <w:proofErr w:type="spellStart"/>
      <w:r w:rsidRPr="00A05FCA">
        <w:rPr>
          <w:rFonts w:eastAsia="Calibri"/>
        </w:rPr>
        <w:t>рабепразола</w:t>
      </w:r>
      <w:proofErr w:type="spellEnd"/>
      <w:r w:rsidRPr="00A05FCA">
        <w:rPr>
          <w:rFonts w:eastAsia="Calibri"/>
        </w:rPr>
        <w:t xml:space="preserve"> в дозе 20 мг в сутки AUC увеличивается в 1,9 раза, а период полувыведения в 1,6 раза по сравнению с теми же параметрами у «быстрых </w:t>
      </w:r>
      <w:proofErr w:type="spellStart"/>
      <w:r w:rsidRPr="00A05FCA">
        <w:rPr>
          <w:rFonts w:eastAsia="Calibri"/>
        </w:rPr>
        <w:t>метаболизаторов</w:t>
      </w:r>
      <w:proofErr w:type="spellEnd"/>
      <w:r w:rsidRPr="00A05FCA">
        <w:rPr>
          <w:rFonts w:eastAsia="Calibri"/>
        </w:rPr>
        <w:t xml:space="preserve">», в то время как </w:t>
      </w:r>
      <w:proofErr w:type="spellStart"/>
      <w:r w:rsidRPr="00A05FCA">
        <w:rPr>
          <w:rFonts w:eastAsia="Calibri"/>
        </w:rPr>
        <w:t>Сmax</w:t>
      </w:r>
      <w:proofErr w:type="spellEnd"/>
      <w:r w:rsidRPr="00A05FCA">
        <w:rPr>
          <w:rFonts w:eastAsia="Calibri"/>
        </w:rPr>
        <w:t xml:space="preserve"> увеличивается на 40</w:t>
      </w:r>
      <w:r w:rsidR="00354ADA">
        <w:rPr>
          <w:rFonts w:eastAsia="Calibri"/>
        </w:rPr>
        <w:t xml:space="preserve"> </w:t>
      </w:r>
      <w:r w:rsidRPr="00A05FCA">
        <w:rPr>
          <w:rFonts w:eastAsia="Calibri"/>
        </w:rPr>
        <w:t>%.</w:t>
      </w:r>
    </w:p>
    <w:p w14:paraId="654F4E97" w14:textId="77777777" w:rsidR="005D6ADA" w:rsidRDefault="005D6ADA" w:rsidP="00F20491">
      <w:pPr>
        <w:jc w:val="both"/>
      </w:pPr>
    </w:p>
    <w:p w14:paraId="2E86F230" w14:textId="77777777" w:rsidR="00211EBD" w:rsidRDefault="00211EBD" w:rsidP="00F20491">
      <w:pPr>
        <w:jc w:val="both"/>
        <w:rPr>
          <w:b/>
        </w:rPr>
      </w:pPr>
      <w:r w:rsidRPr="00C85356">
        <w:rPr>
          <w:b/>
        </w:rPr>
        <w:t>Показания к применению</w:t>
      </w:r>
    </w:p>
    <w:p w14:paraId="0A05F488" w14:textId="77777777" w:rsidR="00211EBD" w:rsidRPr="00264EA8" w:rsidRDefault="00211EBD" w:rsidP="00F20491">
      <w:pPr>
        <w:numPr>
          <w:ilvl w:val="0"/>
          <w:numId w:val="8"/>
        </w:numPr>
        <w:jc w:val="both"/>
      </w:pPr>
      <w:r>
        <w:t>Я</w:t>
      </w:r>
      <w:r w:rsidRPr="00264EA8">
        <w:t xml:space="preserve">звенная болезнь желудка в стадии обострения и </w:t>
      </w:r>
      <w:r>
        <w:t>язва анастомоза</w:t>
      </w:r>
      <w:r w:rsidRPr="00264EA8">
        <w:t>;</w:t>
      </w:r>
    </w:p>
    <w:p w14:paraId="2182B7C3" w14:textId="77777777" w:rsidR="00211EBD" w:rsidRPr="00264EA8" w:rsidRDefault="00211EBD" w:rsidP="00F20491">
      <w:pPr>
        <w:numPr>
          <w:ilvl w:val="0"/>
          <w:numId w:val="8"/>
        </w:numPr>
        <w:jc w:val="both"/>
      </w:pPr>
      <w:r w:rsidRPr="00264EA8">
        <w:t>Язв</w:t>
      </w:r>
      <w:r>
        <w:t>енная болезнь</w:t>
      </w:r>
      <w:r w:rsidRPr="00264EA8">
        <w:t xml:space="preserve"> двенадцатиперстной кишки в стадии обострения;</w:t>
      </w:r>
    </w:p>
    <w:p w14:paraId="2ED069B7" w14:textId="77777777" w:rsidR="00211EBD" w:rsidRPr="00264EA8" w:rsidRDefault="00211EBD" w:rsidP="00F20491">
      <w:pPr>
        <w:numPr>
          <w:ilvl w:val="0"/>
          <w:numId w:val="8"/>
        </w:numPr>
        <w:jc w:val="both"/>
      </w:pPr>
      <w:r w:rsidRPr="00264EA8">
        <w:t xml:space="preserve">Эрозивная и язвенная </w:t>
      </w:r>
      <w:proofErr w:type="spellStart"/>
      <w:r w:rsidRPr="00264EA8">
        <w:t>гастроэзофагеальная</w:t>
      </w:r>
      <w:proofErr w:type="spellEnd"/>
      <w:r w:rsidRPr="00264EA8">
        <w:t xml:space="preserve"> </w:t>
      </w:r>
      <w:proofErr w:type="spellStart"/>
      <w:r w:rsidRPr="00264EA8">
        <w:t>рефлюксная</w:t>
      </w:r>
      <w:proofErr w:type="spellEnd"/>
      <w:r w:rsidRPr="00264EA8">
        <w:t xml:space="preserve"> болезнь или рефлюкс-эзофагит;</w:t>
      </w:r>
    </w:p>
    <w:p w14:paraId="0C745BF6" w14:textId="77777777" w:rsidR="00211EBD" w:rsidRPr="00AF688A" w:rsidRDefault="00211EBD" w:rsidP="00F20491">
      <w:pPr>
        <w:numPr>
          <w:ilvl w:val="0"/>
          <w:numId w:val="8"/>
        </w:numPr>
        <w:jc w:val="both"/>
      </w:pPr>
      <w:r w:rsidRPr="00264EA8">
        <w:t xml:space="preserve">Поддерживающая терапия </w:t>
      </w:r>
      <w:proofErr w:type="spellStart"/>
      <w:r w:rsidRPr="00264EA8">
        <w:t>гастроэзофагеальной</w:t>
      </w:r>
      <w:proofErr w:type="spellEnd"/>
      <w:r w:rsidRPr="00264EA8">
        <w:t xml:space="preserve"> </w:t>
      </w:r>
      <w:proofErr w:type="spellStart"/>
      <w:r w:rsidRPr="00264EA8">
        <w:t>рефлюксной</w:t>
      </w:r>
      <w:proofErr w:type="spellEnd"/>
      <w:r w:rsidRPr="00264EA8">
        <w:t xml:space="preserve"> болезни</w:t>
      </w:r>
      <w:r w:rsidRPr="00AF688A">
        <w:t>;</w:t>
      </w:r>
      <w:r>
        <w:t xml:space="preserve"> </w:t>
      </w:r>
    </w:p>
    <w:p w14:paraId="66F8B4F8" w14:textId="77777777" w:rsidR="00211EBD" w:rsidRDefault="00211EBD" w:rsidP="00F20491">
      <w:pPr>
        <w:numPr>
          <w:ilvl w:val="0"/>
          <w:numId w:val="8"/>
        </w:numPr>
        <w:jc w:val="both"/>
      </w:pPr>
      <w:proofErr w:type="spellStart"/>
      <w:r>
        <w:t>Неэрозивная</w:t>
      </w:r>
      <w:proofErr w:type="spellEnd"/>
      <w:r w:rsidRPr="00264EA8">
        <w:t xml:space="preserve"> </w:t>
      </w:r>
      <w:proofErr w:type="spellStart"/>
      <w:r w:rsidRPr="00264EA8">
        <w:t>гастроэзофагеальная</w:t>
      </w:r>
      <w:proofErr w:type="spellEnd"/>
      <w:r w:rsidRPr="00264EA8">
        <w:t xml:space="preserve"> </w:t>
      </w:r>
      <w:proofErr w:type="spellStart"/>
      <w:r w:rsidRPr="00264EA8">
        <w:t>рефлюксная</w:t>
      </w:r>
      <w:proofErr w:type="spellEnd"/>
      <w:r w:rsidRPr="00264EA8">
        <w:t xml:space="preserve"> </w:t>
      </w:r>
      <w:r w:rsidRPr="00AF688A">
        <w:t>болезнь;</w:t>
      </w:r>
    </w:p>
    <w:p w14:paraId="6E438EAB" w14:textId="77777777" w:rsidR="00211EBD" w:rsidRPr="00264EA8" w:rsidRDefault="00211EBD" w:rsidP="00F20491">
      <w:pPr>
        <w:numPr>
          <w:ilvl w:val="0"/>
          <w:numId w:val="8"/>
        </w:numPr>
        <w:jc w:val="both"/>
        <w:rPr>
          <w:iCs/>
        </w:rPr>
      </w:pPr>
      <w:r w:rsidRPr="00264EA8">
        <w:t xml:space="preserve">Синдром </w:t>
      </w:r>
      <w:proofErr w:type="spellStart"/>
      <w:r w:rsidRPr="00264EA8">
        <w:t>Золлингера-Эллисона</w:t>
      </w:r>
      <w:proofErr w:type="spellEnd"/>
      <w:r w:rsidRPr="00264EA8">
        <w:t xml:space="preserve"> и другие </w:t>
      </w:r>
      <w:r w:rsidR="00550D1F">
        <w:t>состояния</w:t>
      </w:r>
      <w:r>
        <w:t xml:space="preserve">, характеризующиеся </w:t>
      </w:r>
      <w:r w:rsidRPr="00264EA8">
        <w:t>патологическ</w:t>
      </w:r>
      <w:r w:rsidR="005D6ADA">
        <w:t>ой гиперсекрецие</w:t>
      </w:r>
      <w:r>
        <w:t>й</w:t>
      </w:r>
      <w:r w:rsidRPr="00264EA8">
        <w:t>;</w:t>
      </w:r>
    </w:p>
    <w:p w14:paraId="30C52AA3" w14:textId="77777777" w:rsidR="00211EBD" w:rsidRDefault="00211EBD" w:rsidP="00F20491">
      <w:pPr>
        <w:numPr>
          <w:ilvl w:val="0"/>
          <w:numId w:val="8"/>
        </w:numPr>
        <w:jc w:val="both"/>
        <w:rPr>
          <w:iCs/>
        </w:rPr>
      </w:pPr>
      <w:r w:rsidRPr="00264EA8">
        <w:t xml:space="preserve">В комбинации с соответствующей антибактериальной терапией для </w:t>
      </w:r>
      <w:proofErr w:type="spellStart"/>
      <w:r w:rsidRPr="00264EA8">
        <w:t>эрадикации</w:t>
      </w:r>
      <w:proofErr w:type="spellEnd"/>
      <w:r w:rsidRPr="00264EA8">
        <w:t xml:space="preserve"> </w:t>
      </w:r>
      <w:proofErr w:type="spellStart"/>
      <w:r w:rsidRPr="00264EA8">
        <w:rPr>
          <w:i/>
          <w:iCs/>
        </w:rPr>
        <w:t>Helicobacter</w:t>
      </w:r>
      <w:proofErr w:type="spellEnd"/>
      <w:r w:rsidRPr="00264EA8">
        <w:rPr>
          <w:i/>
          <w:iCs/>
        </w:rPr>
        <w:t xml:space="preserve"> </w:t>
      </w:r>
      <w:proofErr w:type="spellStart"/>
      <w:r w:rsidRPr="00264EA8">
        <w:rPr>
          <w:i/>
          <w:iCs/>
        </w:rPr>
        <w:t>pylori</w:t>
      </w:r>
      <w:proofErr w:type="spellEnd"/>
      <w:r w:rsidRPr="00264EA8">
        <w:rPr>
          <w:iCs/>
        </w:rPr>
        <w:t xml:space="preserve"> у пациентов с язвенной болезнью</w:t>
      </w:r>
      <w:r>
        <w:rPr>
          <w:iCs/>
        </w:rPr>
        <w:t>.</w:t>
      </w:r>
    </w:p>
    <w:p w14:paraId="17017414" w14:textId="77777777" w:rsidR="00211EBD" w:rsidRPr="00264EA8" w:rsidRDefault="00211EBD" w:rsidP="00F20491">
      <w:pPr>
        <w:ind w:left="283"/>
        <w:jc w:val="both"/>
      </w:pPr>
    </w:p>
    <w:p w14:paraId="2DCED3F8" w14:textId="77777777" w:rsidR="00211EBD" w:rsidRPr="00264EA8" w:rsidRDefault="00211EBD" w:rsidP="00F20491">
      <w:pPr>
        <w:jc w:val="both"/>
        <w:rPr>
          <w:b/>
        </w:rPr>
      </w:pPr>
      <w:r w:rsidRPr="00264EA8">
        <w:rPr>
          <w:b/>
        </w:rPr>
        <w:t>Противопоказания</w:t>
      </w:r>
    </w:p>
    <w:p w14:paraId="72A6AD7A" w14:textId="77777777" w:rsidR="00211EBD" w:rsidRDefault="00211EBD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264EA8">
        <w:t xml:space="preserve">гиперчувствительность к </w:t>
      </w:r>
      <w:proofErr w:type="spellStart"/>
      <w:r w:rsidRPr="00264EA8">
        <w:t>рабепразолу</w:t>
      </w:r>
      <w:proofErr w:type="spellEnd"/>
      <w:r w:rsidRPr="00264EA8">
        <w:t xml:space="preserve">, замещенным </w:t>
      </w:r>
      <w:proofErr w:type="spellStart"/>
      <w:r w:rsidRPr="00264EA8">
        <w:t>бензимидазолам</w:t>
      </w:r>
      <w:proofErr w:type="spellEnd"/>
      <w:r w:rsidRPr="00264EA8">
        <w:t xml:space="preserve"> или к вспомогательным компонентам препарата;</w:t>
      </w:r>
    </w:p>
    <w:p w14:paraId="7F5A2018" w14:textId="77777777" w:rsidR="00211EBD" w:rsidRPr="00A3535B" w:rsidRDefault="00211EBD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A3535B">
        <w:t>беременность</w:t>
      </w:r>
      <w:r w:rsidRPr="00A3535B">
        <w:rPr>
          <w:lang w:val="en-US"/>
        </w:rPr>
        <w:t>;</w:t>
      </w:r>
      <w:r w:rsidRPr="00A3535B">
        <w:t xml:space="preserve"> </w:t>
      </w:r>
    </w:p>
    <w:p w14:paraId="3F8E45CF" w14:textId="77777777" w:rsidR="00211EBD" w:rsidRPr="00A3535B" w:rsidRDefault="00211EBD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A3535B">
        <w:t>период лактации</w:t>
      </w:r>
      <w:r w:rsidRPr="00A3535B">
        <w:rPr>
          <w:lang w:val="en-US"/>
        </w:rPr>
        <w:t>;</w:t>
      </w:r>
    </w:p>
    <w:p w14:paraId="5018F13D" w14:textId="77777777" w:rsidR="00211EBD" w:rsidRDefault="00C85356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C85356">
        <w:t>детский возраст до 12 лет.</w:t>
      </w:r>
    </w:p>
    <w:p w14:paraId="67EB7F3C" w14:textId="77777777" w:rsidR="00C85356" w:rsidRPr="00C85356" w:rsidRDefault="00C85356" w:rsidP="00F20491">
      <w:pPr>
        <w:ind w:left="709"/>
        <w:jc w:val="both"/>
      </w:pPr>
    </w:p>
    <w:p w14:paraId="507D04FA" w14:textId="77777777" w:rsidR="00211EBD" w:rsidRPr="00A3535B" w:rsidRDefault="00211EBD" w:rsidP="00F20491">
      <w:pPr>
        <w:jc w:val="both"/>
        <w:rPr>
          <w:b/>
        </w:rPr>
      </w:pPr>
      <w:r w:rsidRPr="00A3535B">
        <w:rPr>
          <w:b/>
        </w:rPr>
        <w:t>С осторожностью</w:t>
      </w:r>
    </w:p>
    <w:p w14:paraId="6734BF0A" w14:textId="77777777" w:rsidR="00211EBD" w:rsidRPr="00A3535B" w:rsidRDefault="00211EBD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A3535B">
        <w:t>детский возраст;</w:t>
      </w:r>
    </w:p>
    <w:p w14:paraId="6D91C2C3" w14:textId="77777777" w:rsidR="00211EBD" w:rsidRPr="00A3535B" w:rsidRDefault="00211EBD" w:rsidP="00F2049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</w:pPr>
      <w:r w:rsidRPr="00A3535B">
        <w:lastRenderedPageBreak/>
        <w:t>тяжелая почечная недостаточность.</w:t>
      </w:r>
    </w:p>
    <w:p w14:paraId="0BE9B4C5" w14:textId="77777777" w:rsidR="00211EBD" w:rsidRPr="00264EA8" w:rsidRDefault="00211EBD" w:rsidP="00F20491">
      <w:pPr>
        <w:pStyle w:val="Heading2"/>
        <w:spacing w:before="120"/>
        <w:rPr>
          <w:rFonts w:ascii="Times New Roman" w:hAnsi="Times New Roman"/>
        </w:rPr>
      </w:pPr>
      <w:r w:rsidRPr="00264EA8">
        <w:rPr>
          <w:rFonts w:ascii="Times New Roman" w:hAnsi="Times New Roman"/>
        </w:rPr>
        <w:t>Применение при беременности и лактации</w:t>
      </w:r>
    </w:p>
    <w:p w14:paraId="1FC89BD8" w14:textId="77777777" w:rsidR="00211EBD" w:rsidRPr="00264EA8" w:rsidRDefault="00211EBD" w:rsidP="00F20491">
      <w:pPr>
        <w:jc w:val="both"/>
      </w:pPr>
      <w:r w:rsidRPr="00264EA8">
        <w:t xml:space="preserve">Данных по безопасности применения </w:t>
      </w:r>
      <w:proofErr w:type="spellStart"/>
      <w:r w:rsidRPr="00264EA8">
        <w:t>рабепразола</w:t>
      </w:r>
      <w:proofErr w:type="spellEnd"/>
      <w:r w:rsidRPr="00264EA8">
        <w:t xml:space="preserve"> во время беременности нет.</w:t>
      </w:r>
    </w:p>
    <w:p w14:paraId="6E0F82BC" w14:textId="58D63416" w:rsidR="00211EBD" w:rsidRPr="00264EA8" w:rsidRDefault="00360DC2" w:rsidP="00F20491">
      <w:pPr>
        <w:jc w:val="both"/>
      </w:pPr>
      <w:r w:rsidRPr="00264EA8">
        <w:t xml:space="preserve">Исследования </w:t>
      </w:r>
      <w:r>
        <w:t xml:space="preserve">влияния на </w:t>
      </w:r>
      <w:r w:rsidRPr="00264EA8">
        <w:t>репродуктивн</w:t>
      </w:r>
      <w:r>
        <w:t>ую функцию</w:t>
      </w:r>
      <w:r w:rsidRPr="00264EA8">
        <w:t xml:space="preserve"> </w:t>
      </w:r>
      <w:r>
        <w:t xml:space="preserve">у </w:t>
      </w:r>
      <w:r w:rsidRPr="00264EA8">
        <w:t>крыс и кролик</w:t>
      </w:r>
      <w:r>
        <w:t>ов</w:t>
      </w:r>
      <w:r w:rsidRPr="00264EA8">
        <w:t xml:space="preserve"> не </w:t>
      </w:r>
      <w:r w:rsidR="00211EBD" w:rsidRPr="00264EA8">
        <w:t xml:space="preserve">выявили признаков нарушения фертильности или дефектов развития плода, обусловленных </w:t>
      </w:r>
      <w:proofErr w:type="spellStart"/>
      <w:r w:rsidR="00211EBD" w:rsidRPr="00264EA8">
        <w:t>рабепразолом</w:t>
      </w:r>
      <w:proofErr w:type="spellEnd"/>
      <w:r w:rsidR="00211EBD" w:rsidRPr="00264EA8">
        <w:t xml:space="preserve">; однако у крыс в небольших количествах препарат проникает через плацентарный барьер. </w:t>
      </w:r>
      <w:proofErr w:type="spellStart"/>
      <w:r w:rsidR="00211EBD" w:rsidRPr="00264EA8">
        <w:t>Париет</w:t>
      </w:r>
      <w:proofErr w:type="spellEnd"/>
      <w:r w:rsidR="00211EBD" w:rsidRPr="00264EA8">
        <w:rPr>
          <w:b/>
          <w:sz w:val="32"/>
          <w:vertAlign w:val="superscript"/>
        </w:rPr>
        <w:t>®</w:t>
      </w:r>
      <w:r w:rsidR="00211EBD" w:rsidRPr="00264EA8">
        <w:t xml:space="preserve"> не следует применять при беременности за исключением случаев, когда ожидаемый положительный эффект для матери превосходит возможный вред для плода.</w:t>
      </w:r>
    </w:p>
    <w:p w14:paraId="64175B42" w14:textId="77777777" w:rsidR="00211EBD" w:rsidRPr="00264EA8" w:rsidRDefault="00211EBD" w:rsidP="00F20491">
      <w:pPr>
        <w:jc w:val="both"/>
      </w:pPr>
      <w:r w:rsidRPr="00264EA8">
        <w:t xml:space="preserve">Неизвестно, выделяется ли </w:t>
      </w:r>
      <w:proofErr w:type="spellStart"/>
      <w:r w:rsidRPr="00264EA8">
        <w:t>рабепразол</w:t>
      </w:r>
      <w:proofErr w:type="spellEnd"/>
      <w:r w:rsidRPr="00264EA8">
        <w:t xml:space="preserve"> с грудным молоком. Соответствующие исследования у кормящих женщин не проводились. Вместе с тем </w:t>
      </w:r>
      <w:proofErr w:type="spellStart"/>
      <w:r w:rsidRPr="00264EA8">
        <w:t>рабепразол</w:t>
      </w:r>
      <w:proofErr w:type="spellEnd"/>
      <w:r w:rsidRPr="00264EA8">
        <w:t xml:space="preserve"> обнаружен в молоке </w:t>
      </w:r>
      <w:proofErr w:type="spellStart"/>
      <w:r w:rsidRPr="00264EA8">
        <w:t>лактирующих</w:t>
      </w:r>
      <w:proofErr w:type="spellEnd"/>
      <w:r w:rsidRPr="00264EA8">
        <w:t xml:space="preserve"> крыс, и поэтому </w:t>
      </w:r>
      <w:proofErr w:type="spellStart"/>
      <w:r w:rsidRPr="00264EA8">
        <w:t>Париет</w:t>
      </w:r>
      <w:proofErr w:type="spellEnd"/>
      <w:r w:rsidRPr="004F50E8">
        <w:rPr>
          <w:vertAlign w:val="superscript"/>
        </w:rPr>
        <w:t>®</w:t>
      </w:r>
      <w:r w:rsidRPr="00264EA8">
        <w:rPr>
          <w:b/>
          <w:sz w:val="32"/>
          <w:vertAlign w:val="superscript"/>
        </w:rPr>
        <w:t xml:space="preserve"> </w:t>
      </w:r>
      <w:r w:rsidRPr="00264EA8">
        <w:t>нельзя назначать кормящим женщинам.</w:t>
      </w:r>
    </w:p>
    <w:p w14:paraId="6F14E1A5" w14:textId="77777777" w:rsidR="005222DD" w:rsidRDefault="005222DD" w:rsidP="00F20491">
      <w:pPr>
        <w:pStyle w:val="NoSpacing"/>
        <w:ind w:firstLine="0"/>
        <w:rPr>
          <w:b/>
          <w:szCs w:val="24"/>
          <w:lang w:val="ru-RU"/>
        </w:rPr>
      </w:pPr>
    </w:p>
    <w:p w14:paraId="0F215BA6" w14:textId="77777777" w:rsidR="00211EBD" w:rsidRPr="004F50E8" w:rsidRDefault="00211EBD" w:rsidP="00F20491">
      <w:pPr>
        <w:pStyle w:val="NoSpacing"/>
        <w:ind w:firstLine="0"/>
        <w:rPr>
          <w:b/>
          <w:szCs w:val="24"/>
          <w:lang w:val="ru-RU"/>
        </w:rPr>
      </w:pPr>
      <w:r w:rsidRPr="004F50E8">
        <w:rPr>
          <w:b/>
          <w:szCs w:val="24"/>
          <w:lang w:val="ru-RU"/>
        </w:rPr>
        <w:t>Способ применения и дозы</w:t>
      </w:r>
    </w:p>
    <w:p w14:paraId="0DC5A794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Таблетки препарата </w:t>
      </w:r>
      <w:proofErr w:type="spellStart"/>
      <w:r w:rsidRPr="004F50E8">
        <w:rPr>
          <w:szCs w:val="24"/>
          <w:lang w:val="ru-RU"/>
        </w:rPr>
        <w:t>Париет</w:t>
      </w:r>
      <w:proofErr w:type="spellEnd"/>
      <w:r w:rsidRPr="004F50E8">
        <w:rPr>
          <w:szCs w:val="24"/>
          <w:vertAlign w:val="superscript"/>
          <w:lang w:val="ru-RU"/>
        </w:rPr>
        <w:t>®</w:t>
      </w:r>
      <w:r w:rsidRPr="004F50E8">
        <w:rPr>
          <w:szCs w:val="24"/>
          <w:lang w:val="ru-RU"/>
        </w:rPr>
        <w:t xml:space="preserve"> нельзя разжевывать или измельчать. Таблетки следует глотать целиком. Установлено, что ни время суток, ни прием пищи не влияют на активность </w:t>
      </w:r>
      <w:proofErr w:type="spellStart"/>
      <w:r w:rsidRPr="004F50E8">
        <w:rPr>
          <w:szCs w:val="24"/>
          <w:lang w:val="ru-RU"/>
        </w:rPr>
        <w:t>рабепразола</w:t>
      </w:r>
      <w:proofErr w:type="spellEnd"/>
      <w:r w:rsidRPr="004F50E8">
        <w:rPr>
          <w:szCs w:val="24"/>
          <w:lang w:val="ru-RU"/>
        </w:rPr>
        <w:t xml:space="preserve"> натрия.</w:t>
      </w:r>
    </w:p>
    <w:p w14:paraId="72BA9C0C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7C017CE7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i/>
          <w:iCs/>
          <w:szCs w:val="24"/>
          <w:u w:val="single"/>
          <w:lang w:val="ru-RU"/>
        </w:rPr>
        <w:t>При язвенной болезни желудка в стадии обострения и язве анастомоза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>рекомендуется принимать внутрь по 20 мг один раз в день. Обычно излечение наступает после 6 недель терапии, однако в некоторых случаях длительность лечения может быть увеличена еще на 6 недель.</w:t>
      </w:r>
    </w:p>
    <w:p w14:paraId="6021B68F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0865638B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i/>
          <w:iCs/>
          <w:szCs w:val="24"/>
          <w:u w:val="single"/>
          <w:lang w:val="ru-RU"/>
        </w:rPr>
        <w:t>При язвенной болезни двенадцатиперстной кишки в стадии обострения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 xml:space="preserve">рекомендуется принимать внутрь по 20 мг один раз в </w:t>
      </w:r>
      <w:r w:rsidRPr="00FB7DB0">
        <w:rPr>
          <w:szCs w:val="24"/>
          <w:lang w:val="ru-RU"/>
        </w:rPr>
        <w:t>день. Длител</w:t>
      </w:r>
      <w:r w:rsidRPr="004F50E8">
        <w:rPr>
          <w:szCs w:val="24"/>
          <w:lang w:val="ru-RU"/>
        </w:rPr>
        <w:t>ьность лечения составляет от 2 до 4 недель. В случае необходимости длительность лечения может быть увеличена еще на 4 недели.</w:t>
      </w:r>
    </w:p>
    <w:p w14:paraId="34A88BEF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410D31C1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i/>
          <w:iCs/>
          <w:szCs w:val="24"/>
          <w:u w:val="single"/>
          <w:lang w:val="ru-RU"/>
        </w:rPr>
        <w:t xml:space="preserve">При лечении эрозивной </w:t>
      </w:r>
      <w:proofErr w:type="spellStart"/>
      <w:r w:rsidRPr="004F50E8">
        <w:rPr>
          <w:i/>
          <w:iCs/>
          <w:szCs w:val="24"/>
          <w:u w:val="single"/>
          <w:lang w:val="ru-RU"/>
        </w:rPr>
        <w:t>гастроэзофагеальной</w:t>
      </w:r>
      <w:proofErr w:type="spellEnd"/>
      <w:r w:rsidRPr="004F50E8">
        <w:rPr>
          <w:i/>
          <w:iCs/>
          <w:szCs w:val="24"/>
          <w:u w:val="single"/>
          <w:lang w:val="ru-RU"/>
        </w:rPr>
        <w:t xml:space="preserve"> </w:t>
      </w:r>
      <w:proofErr w:type="spellStart"/>
      <w:r w:rsidRPr="004F50E8">
        <w:rPr>
          <w:i/>
          <w:iCs/>
          <w:szCs w:val="24"/>
          <w:u w:val="single"/>
          <w:lang w:val="ru-RU"/>
        </w:rPr>
        <w:t>рефлюксной</w:t>
      </w:r>
      <w:proofErr w:type="spellEnd"/>
      <w:r w:rsidRPr="004F50E8">
        <w:rPr>
          <w:i/>
          <w:iCs/>
          <w:szCs w:val="24"/>
          <w:u w:val="single"/>
          <w:lang w:val="ru-RU"/>
        </w:rPr>
        <w:t xml:space="preserve"> болезни (ГЭРБ) или рефлюкс эзофагите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>рекомендуется принимать внутрь по 20 мг один раз в день. Длительность лечения составляет от 4 до 8 недель. В случае необходимости длительность лечения может быть увеличена еще на 8 недель.</w:t>
      </w:r>
    </w:p>
    <w:p w14:paraId="323AA277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0E77718C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 xml:space="preserve">При поддерживающей терапии </w:t>
      </w:r>
      <w:proofErr w:type="spellStart"/>
      <w:r w:rsidRPr="000F695E">
        <w:rPr>
          <w:i/>
          <w:iCs/>
          <w:szCs w:val="24"/>
          <w:u w:val="single"/>
          <w:lang w:val="ru-RU"/>
        </w:rPr>
        <w:t>гастроэзофагеальной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</w:t>
      </w:r>
      <w:proofErr w:type="spellStart"/>
      <w:r w:rsidRPr="000F695E">
        <w:rPr>
          <w:i/>
          <w:iCs/>
          <w:szCs w:val="24"/>
          <w:u w:val="single"/>
          <w:lang w:val="ru-RU"/>
        </w:rPr>
        <w:t>рефлюксной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болезни (ГЭРБ)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>рекомендуется принимать внутрь по 20 мг один раз в день. Длительность</w:t>
      </w:r>
      <w:r w:rsidRPr="00A07702">
        <w:rPr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 xml:space="preserve">лечения зависит от состояния пациента. </w:t>
      </w:r>
    </w:p>
    <w:p w14:paraId="174BB1D2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4DF19456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 xml:space="preserve">При </w:t>
      </w:r>
      <w:proofErr w:type="spellStart"/>
      <w:r w:rsidRPr="000F695E">
        <w:rPr>
          <w:i/>
          <w:iCs/>
          <w:szCs w:val="24"/>
          <w:u w:val="single"/>
          <w:lang w:val="ru-RU"/>
        </w:rPr>
        <w:t>неэрозивной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</w:t>
      </w:r>
      <w:proofErr w:type="spellStart"/>
      <w:r w:rsidRPr="000F695E">
        <w:rPr>
          <w:i/>
          <w:iCs/>
          <w:szCs w:val="24"/>
          <w:u w:val="single"/>
          <w:lang w:val="ru-RU"/>
        </w:rPr>
        <w:t>гастроэзофагеальной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</w:t>
      </w:r>
      <w:proofErr w:type="spellStart"/>
      <w:r w:rsidRPr="000F695E">
        <w:rPr>
          <w:i/>
          <w:iCs/>
          <w:szCs w:val="24"/>
          <w:u w:val="single"/>
          <w:lang w:val="ru-RU"/>
        </w:rPr>
        <w:t>рефлюксной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болезни (НЭРБ) без эзофагита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 xml:space="preserve">рекомендуется принимать внутрь по 20 мг один раз в день. </w:t>
      </w:r>
    </w:p>
    <w:p w14:paraId="47D49948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Если после четырех недель лечения симптомы не исчезают, следует провести дополнительное исследование пациента. </w:t>
      </w:r>
    </w:p>
    <w:p w14:paraId="42094A87" w14:textId="77777777" w:rsidR="001F27FD" w:rsidRPr="0037727F" w:rsidRDefault="001F27FD" w:rsidP="00F20491">
      <w:pPr>
        <w:pStyle w:val="NoSpacing"/>
        <w:ind w:firstLine="0"/>
        <w:rPr>
          <w:szCs w:val="24"/>
          <w:lang w:val="ru-RU"/>
        </w:rPr>
      </w:pPr>
      <w:r w:rsidRPr="00B41541">
        <w:rPr>
          <w:szCs w:val="24"/>
          <w:lang w:val="ru-RU"/>
        </w:rPr>
        <w:t>После купирования симптомов для предупреждения их последующего возникновения следует принимать препарат внутрь один раз в день по требованию.</w:t>
      </w:r>
    </w:p>
    <w:p w14:paraId="797D020B" w14:textId="77777777" w:rsidR="00211EBD" w:rsidRDefault="00211EBD" w:rsidP="00F20491">
      <w:pPr>
        <w:pStyle w:val="NoSpacing"/>
        <w:ind w:firstLine="0"/>
        <w:rPr>
          <w:szCs w:val="24"/>
          <w:lang w:val="ru-RU"/>
        </w:rPr>
      </w:pPr>
    </w:p>
    <w:p w14:paraId="4BC45A81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 xml:space="preserve">Для лечения синдрома </w:t>
      </w:r>
      <w:proofErr w:type="spellStart"/>
      <w:r w:rsidRPr="000F695E">
        <w:rPr>
          <w:i/>
          <w:iCs/>
          <w:szCs w:val="24"/>
          <w:u w:val="single"/>
          <w:lang w:val="ru-RU"/>
        </w:rPr>
        <w:t>Золлингера-Элисона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и других состояний, характеризующихся патологической гиперсекрецией</w:t>
      </w:r>
      <w:r w:rsidRPr="004F50E8">
        <w:rPr>
          <w:i/>
          <w:iCs/>
          <w:szCs w:val="24"/>
          <w:lang w:val="ru-RU"/>
        </w:rPr>
        <w:t xml:space="preserve">, </w:t>
      </w:r>
      <w:r w:rsidRPr="004F50E8">
        <w:rPr>
          <w:szCs w:val="24"/>
          <w:lang w:val="ru-RU"/>
        </w:rPr>
        <w:t xml:space="preserve">дозу подбирают индивидуально. Начальная доза – 60 мг в день, затем дозу повышают и назначают препарат в дозе до 100 мг в день при однократном приеме или по 60 мг два раза в день. Для некоторых пациентов дробное дозирование препарата является предпочтительным. Лечение должно продолжаться по мере клинической необходимости. У некоторых больных с синдромом </w:t>
      </w:r>
      <w:proofErr w:type="spellStart"/>
      <w:r w:rsidRPr="004F50E8">
        <w:rPr>
          <w:szCs w:val="24"/>
          <w:lang w:val="ru-RU"/>
        </w:rPr>
        <w:t>Золлингера-Элисона</w:t>
      </w:r>
      <w:proofErr w:type="spellEnd"/>
      <w:r w:rsidRPr="004F50E8">
        <w:rPr>
          <w:szCs w:val="24"/>
          <w:lang w:val="ru-RU"/>
        </w:rPr>
        <w:t xml:space="preserve"> длительность лечения </w:t>
      </w:r>
      <w:proofErr w:type="spellStart"/>
      <w:r w:rsidRPr="004F50E8">
        <w:rPr>
          <w:szCs w:val="24"/>
          <w:lang w:val="ru-RU"/>
        </w:rPr>
        <w:t>рабепразолом</w:t>
      </w:r>
      <w:proofErr w:type="spellEnd"/>
      <w:r w:rsidRPr="004F50E8">
        <w:rPr>
          <w:szCs w:val="24"/>
          <w:lang w:val="ru-RU"/>
        </w:rPr>
        <w:t xml:space="preserve"> составляла до одного года.</w:t>
      </w:r>
    </w:p>
    <w:p w14:paraId="46D0E01A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56322C19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 xml:space="preserve">Для </w:t>
      </w:r>
      <w:proofErr w:type="spellStart"/>
      <w:r w:rsidRPr="000F695E">
        <w:rPr>
          <w:i/>
          <w:iCs/>
          <w:szCs w:val="24"/>
          <w:u w:val="single"/>
          <w:lang w:val="ru-RU"/>
        </w:rPr>
        <w:t>эрадикации</w:t>
      </w:r>
      <w:proofErr w:type="spellEnd"/>
      <w:r w:rsidRPr="000F695E">
        <w:rPr>
          <w:i/>
          <w:iCs/>
          <w:szCs w:val="24"/>
          <w:u w:val="single"/>
          <w:lang w:val="ru-RU"/>
        </w:rPr>
        <w:t xml:space="preserve"> </w:t>
      </w:r>
      <w:r w:rsidRPr="000F695E">
        <w:rPr>
          <w:i/>
          <w:iCs/>
          <w:szCs w:val="24"/>
          <w:u w:val="single"/>
        </w:rPr>
        <w:t>Helicobacter</w:t>
      </w:r>
      <w:r w:rsidRPr="000F695E">
        <w:rPr>
          <w:i/>
          <w:iCs/>
          <w:szCs w:val="24"/>
          <w:u w:val="single"/>
          <w:lang w:val="ru-RU"/>
        </w:rPr>
        <w:t xml:space="preserve"> </w:t>
      </w:r>
      <w:r w:rsidRPr="000F695E">
        <w:rPr>
          <w:i/>
          <w:iCs/>
          <w:szCs w:val="24"/>
          <w:u w:val="single"/>
        </w:rPr>
        <w:t>pylori</w:t>
      </w:r>
      <w:r w:rsidRPr="004F50E8">
        <w:rPr>
          <w:i/>
          <w:iCs/>
          <w:szCs w:val="24"/>
          <w:lang w:val="ru-RU"/>
        </w:rPr>
        <w:t xml:space="preserve"> </w:t>
      </w:r>
      <w:r w:rsidRPr="004F50E8">
        <w:rPr>
          <w:szCs w:val="24"/>
          <w:lang w:val="ru-RU"/>
        </w:rPr>
        <w:t>рекомендуется принимать внутрь по 20 мг 2 раза в день по определенной схеме с соответствующей комбинацией антибиотиков. Длительность лечения составляет 7 дней.</w:t>
      </w:r>
    </w:p>
    <w:p w14:paraId="5DD28F13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71C7BD7E" w14:textId="77777777" w:rsidR="00211EBD" w:rsidRPr="000F695E" w:rsidRDefault="00211EBD" w:rsidP="00F20491">
      <w:pPr>
        <w:pStyle w:val="NoSpacing"/>
        <w:ind w:firstLine="0"/>
        <w:rPr>
          <w:i/>
          <w:iCs/>
          <w:szCs w:val="24"/>
          <w:u w:val="single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>Пациенты с почечной и печеночной недостаточностью</w:t>
      </w:r>
    </w:p>
    <w:p w14:paraId="16BD72B4" w14:textId="77777777" w:rsidR="00211EBD" w:rsidRPr="00A07702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lastRenderedPageBreak/>
        <w:t xml:space="preserve">Коррекции дозы пациентам с почечной недостаточностью не требуется. </w:t>
      </w:r>
    </w:p>
    <w:p w14:paraId="7CE61477" w14:textId="77777777" w:rsidR="00211EBD" w:rsidRPr="00A07702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У пациентов с легкой и умеренной степенью печеночной недостаточности концентрация </w:t>
      </w:r>
      <w:proofErr w:type="spellStart"/>
      <w:r w:rsidRPr="004F50E8">
        <w:rPr>
          <w:szCs w:val="24"/>
          <w:lang w:val="ru-RU"/>
        </w:rPr>
        <w:t>рабепразола</w:t>
      </w:r>
      <w:proofErr w:type="spellEnd"/>
      <w:r w:rsidRPr="004F50E8">
        <w:rPr>
          <w:szCs w:val="24"/>
          <w:lang w:val="ru-RU"/>
        </w:rPr>
        <w:t xml:space="preserve"> в крови обычно выше, чем у здоровых пациентов. </w:t>
      </w:r>
    </w:p>
    <w:p w14:paraId="21AC1876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При назначении препарата </w:t>
      </w:r>
      <w:proofErr w:type="spellStart"/>
      <w:r w:rsidRPr="004F50E8">
        <w:rPr>
          <w:szCs w:val="24"/>
          <w:lang w:val="ru-RU"/>
        </w:rPr>
        <w:t>Париет</w:t>
      </w:r>
      <w:proofErr w:type="spellEnd"/>
      <w:r w:rsidRPr="000F695E">
        <w:rPr>
          <w:szCs w:val="24"/>
          <w:vertAlign w:val="superscript"/>
          <w:lang w:val="ru-RU"/>
        </w:rPr>
        <w:t>®</w:t>
      </w:r>
      <w:r w:rsidRPr="004F50E8">
        <w:rPr>
          <w:szCs w:val="24"/>
          <w:lang w:val="ru-RU"/>
        </w:rPr>
        <w:t xml:space="preserve"> пациентам с тяжелой степенью печеночной недостаточности следует соблюдать осторожность.</w:t>
      </w:r>
    </w:p>
    <w:p w14:paraId="62332AD3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5FFED730" w14:textId="77777777" w:rsidR="00211EBD" w:rsidRPr="0037727F" w:rsidRDefault="00211EBD" w:rsidP="00F20491">
      <w:pPr>
        <w:pStyle w:val="NoSpacing"/>
        <w:ind w:firstLine="0"/>
        <w:rPr>
          <w:i/>
          <w:iCs/>
          <w:szCs w:val="24"/>
          <w:u w:val="single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>Пожилые пациенты</w:t>
      </w:r>
    </w:p>
    <w:p w14:paraId="4E9233EA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>Коррекции дозы не требуется.</w:t>
      </w:r>
    </w:p>
    <w:p w14:paraId="59DE6BED" w14:textId="77777777" w:rsidR="00211EBD" w:rsidRPr="0037727F" w:rsidRDefault="00211EBD" w:rsidP="00F20491">
      <w:pPr>
        <w:pStyle w:val="NoSpacing"/>
        <w:ind w:firstLine="0"/>
        <w:rPr>
          <w:szCs w:val="24"/>
          <w:lang w:val="ru-RU"/>
        </w:rPr>
      </w:pPr>
    </w:p>
    <w:p w14:paraId="44DF4DB8" w14:textId="77777777" w:rsidR="00211EBD" w:rsidRPr="000F695E" w:rsidRDefault="00211EBD" w:rsidP="00F20491">
      <w:pPr>
        <w:pStyle w:val="NoSpacing"/>
        <w:ind w:firstLine="0"/>
        <w:rPr>
          <w:i/>
          <w:iCs/>
          <w:szCs w:val="24"/>
          <w:u w:val="single"/>
          <w:lang w:val="ru-RU"/>
        </w:rPr>
      </w:pPr>
      <w:r w:rsidRPr="000F695E">
        <w:rPr>
          <w:i/>
          <w:iCs/>
          <w:szCs w:val="24"/>
          <w:u w:val="single"/>
          <w:lang w:val="ru-RU"/>
        </w:rPr>
        <w:t>Дети</w:t>
      </w:r>
    </w:p>
    <w:p w14:paraId="45B577E4" w14:textId="77777777" w:rsidR="00211EBD" w:rsidRPr="00A07702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Безопасность и эффективность </w:t>
      </w:r>
      <w:proofErr w:type="spellStart"/>
      <w:r w:rsidRPr="004F50E8">
        <w:rPr>
          <w:szCs w:val="24"/>
          <w:lang w:val="ru-RU"/>
        </w:rPr>
        <w:t>рабепразола</w:t>
      </w:r>
      <w:proofErr w:type="spellEnd"/>
      <w:r w:rsidRPr="004F50E8">
        <w:rPr>
          <w:szCs w:val="24"/>
          <w:lang w:val="ru-RU"/>
        </w:rPr>
        <w:t xml:space="preserve"> натрия 20 мг для краткосрочного (до 8 недель) лечения ГЭРБ у детей в возрасте 12 лет и более подтверждена экстраполяцией результатов адекватных и хорошо контролируемых исследований, подкрепляющих эффективность </w:t>
      </w:r>
      <w:proofErr w:type="spellStart"/>
      <w:r w:rsidRPr="004F50E8">
        <w:rPr>
          <w:szCs w:val="24"/>
          <w:lang w:val="ru-RU"/>
        </w:rPr>
        <w:t>рабепразола</w:t>
      </w:r>
      <w:proofErr w:type="spellEnd"/>
      <w:r w:rsidRPr="004F50E8">
        <w:rPr>
          <w:szCs w:val="24"/>
          <w:lang w:val="ru-RU"/>
        </w:rPr>
        <w:t xml:space="preserve"> натрия для взрослых и исследованиями безопасности и </w:t>
      </w:r>
      <w:proofErr w:type="spellStart"/>
      <w:r w:rsidRPr="004F50E8">
        <w:rPr>
          <w:szCs w:val="24"/>
          <w:lang w:val="ru-RU"/>
        </w:rPr>
        <w:t>фармакокинетики</w:t>
      </w:r>
      <w:proofErr w:type="spellEnd"/>
      <w:r w:rsidRPr="004F50E8">
        <w:rPr>
          <w:szCs w:val="24"/>
          <w:lang w:val="ru-RU"/>
        </w:rPr>
        <w:t xml:space="preserve"> для пациентов детского возраста. Рекомендуемая доза для детей в возрасте 12 лет и более составляет 20 мг 1 раз в день продолжительностью до 8 недель. </w:t>
      </w:r>
    </w:p>
    <w:p w14:paraId="5DC53CD2" w14:textId="77777777" w:rsidR="00211EBD" w:rsidRPr="0037727F" w:rsidRDefault="00211EBD" w:rsidP="00F20491">
      <w:pPr>
        <w:autoSpaceDE w:val="0"/>
        <w:autoSpaceDN w:val="0"/>
        <w:adjustRightInd w:val="0"/>
        <w:jc w:val="both"/>
      </w:pPr>
      <w:r w:rsidRPr="004F50E8">
        <w:t xml:space="preserve">Безопасность и эффективность </w:t>
      </w:r>
      <w:proofErr w:type="spellStart"/>
      <w:r w:rsidRPr="004F50E8">
        <w:t>рабепразола</w:t>
      </w:r>
      <w:proofErr w:type="spellEnd"/>
      <w:r w:rsidRPr="004F50E8">
        <w:t xml:space="preserve"> натрия для лечения ГЭРБ у детей в возрасте младше 12 лет не установлена. Безопасность и эффективность </w:t>
      </w:r>
      <w:proofErr w:type="spellStart"/>
      <w:r w:rsidRPr="004F50E8">
        <w:t>рабепразола</w:t>
      </w:r>
      <w:proofErr w:type="spellEnd"/>
      <w:r w:rsidRPr="004F50E8">
        <w:t xml:space="preserve"> натрия для применения по другим показаниям не</w:t>
      </w:r>
      <w:r w:rsidRPr="000F695E">
        <w:t xml:space="preserve"> </w:t>
      </w:r>
      <w:r w:rsidRPr="004F50E8">
        <w:t>установлена для пациентов детского возраста.</w:t>
      </w:r>
      <w:r w:rsidRPr="00264EA8">
        <w:t xml:space="preserve"> </w:t>
      </w:r>
    </w:p>
    <w:p w14:paraId="72BB19B4" w14:textId="77777777" w:rsidR="00211EBD" w:rsidRPr="001F27FD" w:rsidRDefault="00211EBD" w:rsidP="00F20491">
      <w:pPr>
        <w:autoSpaceDE w:val="0"/>
        <w:autoSpaceDN w:val="0"/>
        <w:adjustRightInd w:val="0"/>
        <w:jc w:val="both"/>
      </w:pPr>
    </w:p>
    <w:p w14:paraId="0ED6114B" w14:textId="77777777" w:rsidR="00CD1FE5" w:rsidRPr="00CD1FE5" w:rsidRDefault="00CD1FE5" w:rsidP="00CD1FE5">
      <w:pPr>
        <w:jc w:val="both"/>
        <w:rPr>
          <w:b/>
        </w:rPr>
      </w:pPr>
      <w:r w:rsidRPr="00CD1FE5">
        <w:rPr>
          <w:b/>
        </w:rPr>
        <w:t xml:space="preserve">Побочное действие </w:t>
      </w:r>
    </w:p>
    <w:p w14:paraId="45622A4F" w14:textId="77777777" w:rsidR="00CD1FE5" w:rsidRPr="00CD1FE5" w:rsidRDefault="00CD1FE5" w:rsidP="00CD1FE5">
      <w:pPr>
        <w:jc w:val="both"/>
      </w:pPr>
      <w:r w:rsidRPr="00CD1FE5">
        <w:t xml:space="preserve">Исходя из опыта клинических исследований, можно сделать вывод, что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обычно хорошо переносится пациентами. Побочные эффекты, в целом слабо выраженные или умеренные, носят преходящий характер. </w:t>
      </w:r>
    </w:p>
    <w:p w14:paraId="61FDFE26" w14:textId="77777777" w:rsidR="00CD1FE5" w:rsidRPr="00CD1FE5" w:rsidRDefault="00CD1FE5" w:rsidP="00CD1FE5">
      <w:pPr>
        <w:jc w:val="both"/>
      </w:pPr>
      <w:r w:rsidRPr="00CD1FE5">
        <w:t xml:space="preserve">При приеме препарата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в ходе клинических исследований отмечались следующие побочные действия: головная боль, боль в животе, диарея, метеоризм, запор, сухость во рту, головокружение, сыпь, периферический отек.</w:t>
      </w:r>
    </w:p>
    <w:p w14:paraId="680BF5C2" w14:textId="77777777" w:rsidR="00CD1FE5" w:rsidRPr="00CD1FE5" w:rsidRDefault="00CD1FE5" w:rsidP="00CD1FE5">
      <w:pPr>
        <w:jc w:val="both"/>
      </w:pPr>
      <w:r w:rsidRPr="00CD1FE5">
        <w:t>Нежелательные реакции систематизированы относительно каждой из систем органов с использованием следующей классификации частоты встречаемости:</w:t>
      </w:r>
    </w:p>
    <w:p w14:paraId="2DDFFA48" w14:textId="77777777" w:rsidR="00CD1FE5" w:rsidRPr="00CD1FE5" w:rsidRDefault="00CD1FE5" w:rsidP="00CD1FE5">
      <w:pPr>
        <w:jc w:val="both"/>
      </w:pPr>
      <w:r w:rsidRPr="00CD1FE5">
        <w:t>Очень частые (≥1/10)</w:t>
      </w:r>
    </w:p>
    <w:p w14:paraId="049157BA" w14:textId="77777777" w:rsidR="00CD1FE5" w:rsidRPr="00CD1FE5" w:rsidRDefault="00CD1FE5" w:rsidP="00CD1FE5">
      <w:pPr>
        <w:jc w:val="both"/>
      </w:pPr>
      <w:r w:rsidRPr="00CD1FE5">
        <w:t>Частые (≥1/100, &lt;1/10)</w:t>
      </w:r>
    </w:p>
    <w:p w14:paraId="56DF3D8E" w14:textId="77777777" w:rsidR="00CD1FE5" w:rsidRPr="00CD1FE5" w:rsidRDefault="00CD1FE5" w:rsidP="00CD1FE5">
      <w:pPr>
        <w:jc w:val="both"/>
      </w:pPr>
      <w:r w:rsidRPr="00CD1FE5">
        <w:t>Нечастые (≥1/1000, &lt;1/100)</w:t>
      </w:r>
    </w:p>
    <w:p w14:paraId="4D495943" w14:textId="77777777" w:rsidR="00CD1FE5" w:rsidRPr="00CD1FE5" w:rsidRDefault="00CD1FE5" w:rsidP="00CD1FE5">
      <w:pPr>
        <w:jc w:val="both"/>
      </w:pPr>
      <w:r w:rsidRPr="00CD1FE5">
        <w:t>Редкие (≥1/10000, &lt;1/1000)</w:t>
      </w:r>
    </w:p>
    <w:p w14:paraId="11F22FAB" w14:textId="77777777" w:rsidR="00EE4A29" w:rsidRDefault="00CD1FE5" w:rsidP="00CD1FE5">
      <w:pPr>
        <w:jc w:val="both"/>
        <w:rPr>
          <w:i/>
        </w:rPr>
      </w:pPr>
      <w:r w:rsidRPr="00CD1FE5">
        <w:t xml:space="preserve">Очень редкие (&lt;1/10000), включая </w:t>
      </w:r>
      <w:r w:rsidRPr="00CD1FE5">
        <w:rPr>
          <w:i/>
        </w:rPr>
        <w:t>единичные случаи.</w:t>
      </w:r>
    </w:p>
    <w:p w14:paraId="131B5BCF" w14:textId="77777777" w:rsidR="00CD1FE5" w:rsidRPr="00CD1FE5" w:rsidRDefault="00CD1FE5" w:rsidP="00CD1FE5">
      <w:pPr>
        <w:jc w:val="both"/>
      </w:pPr>
      <w:r w:rsidRPr="00CD1FE5">
        <w:rPr>
          <w:i/>
        </w:rPr>
        <w:t>Нарушения со стороны иммунной системы:</w:t>
      </w:r>
    </w:p>
    <w:p w14:paraId="1B9DDFE1" w14:textId="77777777" w:rsidR="00CD1FE5" w:rsidRPr="00CD1FE5" w:rsidRDefault="00CD1FE5" w:rsidP="00CD1FE5">
      <w:pPr>
        <w:jc w:val="both"/>
      </w:pPr>
      <w:r w:rsidRPr="00CD1FE5">
        <w:t xml:space="preserve">редко </w:t>
      </w:r>
      <w:bookmarkStart w:id="0" w:name="_Hlk5617241"/>
      <w:r w:rsidR="00CC1121">
        <w:t>—</w:t>
      </w:r>
      <w:bookmarkEnd w:id="0"/>
      <w:r w:rsidRPr="00CD1FE5">
        <w:t xml:space="preserve"> острые системные аллергические реакции;</w:t>
      </w:r>
    </w:p>
    <w:p w14:paraId="12A27FC0" w14:textId="77777777" w:rsidR="00CD1FE5" w:rsidRPr="00CD1FE5" w:rsidRDefault="00CD1FE5" w:rsidP="00CD1FE5">
      <w:pPr>
        <w:jc w:val="both"/>
        <w:rPr>
          <w:i/>
        </w:rPr>
      </w:pPr>
      <w:r w:rsidRPr="00CD1FE5">
        <w:rPr>
          <w:i/>
        </w:rPr>
        <w:t>Нарушения со стороны крови и лимфатической системы:</w:t>
      </w:r>
    </w:p>
    <w:p w14:paraId="7F0BA763" w14:textId="77777777" w:rsidR="00CD1FE5" w:rsidRPr="00CD1FE5" w:rsidRDefault="00CD1FE5" w:rsidP="00CD1FE5">
      <w:pPr>
        <w:jc w:val="both"/>
      </w:pPr>
      <w:r w:rsidRPr="00CD1FE5">
        <w:t xml:space="preserve">редко </w:t>
      </w:r>
      <w:r w:rsidR="00CC1121">
        <w:t>—</w:t>
      </w:r>
      <w:r w:rsidRPr="00CD1FE5">
        <w:t xml:space="preserve"> тромбоцитопения, </w:t>
      </w:r>
      <w:proofErr w:type="spellStart"/>
      <w:r w:rsidRPr="00CD1FE5">
        <w:t>нейтропения</w:t>
      </w:r>
      <w:proofErr w:type="spellEnd"/>
      <w:r w:rsidRPr="00CD1FE5">
        <w:t>, лейкопения;</w:t>
      </w:r>
    </w:p>
    <w:p w14:paraId="7D217B78" w14:textId="77777777" w:rsidR="00CD1FE5" w:rsidRPr="00CD1FE5" w:rsidRDefault="00CD1FE5" w:rsidP="00CD1FE5">
      <w:pPr>
        <w:jc w:val="both"/>
        <w:rPr>
          <w:i/>
        </w:rPr>
      </w:pPr>
      <w:r w:rsidRPr="00CD1FE5">
        <w:rPr>
          <w:i/>
        </w:rPr>
        <w:t xml:space="preserve">Нарушения со стороны обмена веществ и питания: </w:t>
      </w:r>
    </w:p>
    <w:p w14:paraId="088AAA33" w14:textId="77777777" w:rsidR="00CD1FE5" w:rsidRPr="00CD1FE5" w:rsidRDefault="00CD1FE5" w:rsidP="00CD1FE5">
      <w:pPr>
        <w:jc w:val="both"/>
      </w:pPr>
      <w:r w:rsidRPr="00CD1FE5">
        <w:t xml:space="preserve">редко </w:t>
      </w:r>
      <w:r w:rsidR="00CC1121">
        <w:t>—</w:t>
      </w:r>
      <w:r w:rsidRPr="00CD1FE5">
        <w:t xml:space="preserve"> </w:t>
      </w:r>
      <w:proofErr w:type="spellStart"/>
      <w:r w:rsidRPr="00CD1FE5">
        <w:t>гипомагниемия</w:t>
      </w:r>
      <w:proofErr w:type="spellEnd"/>
      <w:r w:rsidRPr="00CD1FE5">
        <w:t>;</w:t>
      </w:r>
    </w:p>
    <w:p w14:paraId="4AB026E4" w14:textId="77777777" w:rsidR="00CD1FE5" w:rsidRPr="00CD1FE5" w:rsidRDefault="00CD1FE5" w:rsidP="00CD1FE5">
      <w:pPr>
        <w:jc w:val="both"/>
      </w:pPr>
      <w:r w:rsidRPr="00CD1FE5">
        <w:rPr>
          <w:i/>
        </w:rPr>
        <w:t xml:space="preserve">Нарушения со стороны </w:t>
      </w:r>
      <w:proofErr w:type="spellStart"/>
      <w:r w:rsidRPr="00CD1FE5">
        <w:rPr>
          <w:i/>
        </w:rPr>
        <w:t>гепатобилиарной</w:t>
      </w:r>
      <w:proofErr w:type="spellEnd"/>
      <w:r w:rsidRPr="00CD1FE5">
        <w:rPr>
          <w:i/>
        </w:rPr>
        <w:t xml:space="preserve"> системы</w:t>
      </w:r>
      <w:r w:rsidRPr="00CC1121">
        <w:rPr>
          <w:i/>
        </w:rPr>
        <w:t>:</w:t>
      </w:r>
      <w:r w:rsidRPr="00CD1FE5">
        <w:t xml:space="preserve"> повышение активности печеночных ферментов, редко </w:t>
      </w:r>
      <w:r w:rsidR="00CC1121">
        <w:t>—</w:t>
      </w:r>
      <w:r w:rsidRPr="00CD1FE5">
        <w:t xml:space="preserve"> гепатит, желтуха, печеночная энцефалопатия;</w:t>
      </w:r>
    </w:p>
    <w:p w14:paraId="62D0D3CA" w14:textId="77777777" w:rsidR="00CD1FE5" w:rsidRPr="00CD1FE5" w:rsidRDefault="00CD1FE5" w:rsidP="00CD1FE5">
      <w:pPr>
        <w:jc w:val="both"/>
        <w:rPr>
          <w:i/>
          <w:iCs/>
        </w:rPr>
      </w:pPr>
      <w:r w:rsidRPr="00CD1FE5">
        <w:rPr>
          <w:i/>
          <w:iCs/>
        </w:rPr>
        <w:t>Нарушения со стороны почек и мочевыводящих путей:</w:t>
      </w:r>
    </w:p>
    <w:p w14:paraId="0059D9DB" w14:textId="54711652" w:rsidR="00CD1FE5" w:rsidRPr="00CD1FE5" w:rsidRDefault="00CD1FE5" w:rsidP="00CD1FE5">
      <w:pPr>
        <w:jc w:val="both"/>
        <w:rPr>
          <w:iCs/>
        </w:rPr>
      </w:pPr>
      <w:r w:rsidRPr="00CD1FE5">
        <w:rPr>
          <w:iCs/>
        </w:rPr>
        <w:t xml:space="preserve">очень редко </w:t>
      </w:r>
      <w:r w:rsidR="00CC1121">
        <w:t>—</w:t>
      </w:r>
      <w:r w:rsidRPr="00CD1FE5">
        <w:rPr>
          <w:iCs/>
        </w:rPr>
        <w:t xml:space="preserve"> интерстициальный нефрит</w:t>
      </w:r>
      <w:r w:rsidR="006547FA" w:rsidRPr="00F11A45">
        <w:rPr>
          <w:iCs/>
          <w:vertAlign w:val="superscript"/>
          <w:lang w:val="en-US"/>
        </w:rPr>
        <w:t>1</w:t>
      </w:r>
      <w:r w:rsidRPr="00CD1FE5">
        <w:rPr>
          <w:iCs/>
        </w:rPr>
        <w:t>;</w:t>
      </w:r>
    </w:p>
    <w:p w14:paraId="12076880" w14:textId="77777777" w:rsidR="00CD1FE5" w:rsidRPr="00CD1FE5" w:rsidRDefault="00CD1FE5" w:rsidP="00CD1FE5">
      <w:pPr>
        <w:jc w:val="both"/>
      </w:pPr>
      <w:r w:rsidRPr="00CD1FE5">
        <w:rPr>
          <w:i/>
        </w:rPr>
        <w:t>Нарушения со стороны кожи и подкожных тканей:</w:t>
      </w:r>
      <w:r w:rsidRPr="00CD1FE5">
        <w:t xml:space="preserve"> редко </w:t>
      </w:r>
      <w:r w:rsidR="00CC1121">
        <w:t>—</w:t>
      </w:r>
      <w:r w:rsidRPr="00CD1FE5">
        <w:t xml:space="preserve"> буллезные высыпания, крапивница, очень редко </w:t>
      </w:r>
      <w:r w:rsidR="00CC1121">
        <w:t>—</w:t>
      </w:r>
      <w:r w:rsidRPr="00CD1FE5">
        <w:t xml:space="preserve"> </w:t>
      </w:r>
      <w:proofErr w:type="spellStart"/>
      <w:r w:rsidRPr="00CD1FE5">
        <w:t>мультиформная</w:t>
      </w:r>
      <w:proofErr w:type="spellEnd"/>
      <w:r w:rsidRPr="00CD1FE5">
        <w:t xml:space="preserve"> эритема, токсический </w:t>
      </w:r>
      <w:proofErr w:type="spellStart"/>
      <w:r w:rsidRPr="00CD1FE5">
        <w:t>эпидермальный</w:t>
      </w:r>
      <w:proofErr w:type="spellEnd"/>
      <w:r w:rsidRPr="00CD1FE5">
        <w:t xml:space="preserve"> </w:t>
      </w:r>
      <w:proofErr w:type="spellStart"/>
      <w:r w:rsidRPr="00CD1FE5">
        <w:t>некролиз</w:t>
      </w:r>
      <w:proofErr w:type="spellEnd"/>
      <w:r w:rsidRPr="00CD1FE5">
        <w:t xml:space="preserve">, синдром </w:t>
      </w:r>
      <w:proofErr w:type="spellStart"/>
      <w:r w:rsidRPr="00CD1FE5">
        <w:t>Стивенса</w:t>
      </w:r>
      <w:proofErr w:type="spellEnd"/>
      <w:r w:rsidRPr="00CD1FE5">
        <w:t>-Джонсона.</w:t>
      </w:r>
    </w:p>
    <w:p w14:paraId="4140A3FC" w14:textId="77777777" w:rsidR="00CD1FE5" w:rsidRPr="00CD1FE5" w:rsidRDefault="00CD1FE5" w:rsidP="00CD1FE5">
      <w:pPr>
        <w:jc w:val="both"/>
        <w:rPr>
          <w:i/>
        </w:rPr>
      </w:pPr>
      <w:r w:rsidRPr="00CD1FE5">
        <w:rPr>
          <w:i/>
        </w:rPr>
        <w:t xml:space="preserve">Нарушения со стороны костно-мышечной системы: </w:t>
      </w:r>
      <w:r w:rsidRPr="00CD1FE5">
        <w:t xml:space="preserve">редко </w:t>
      </w:r>
      <w:r w:rsidR="00CC1121">
        <w:t>—</w:t>
      </w:r>
      <w:r w:rsidRPr="00CD1FE5">
        <w:t xml:space="preserve"> миалгия, артралгия;</w:t>
      </w:r>
    </w:p>
    <w:p w14:paraId="67DFC634" w14:textId="77777777" w:rsidR="00CD1FE5" w:rsidRPr="00CD1FE5" w:rsidRDefault="00CD1FE5" w:rsidP="00CD1FE5">
      <w:pPr>
        <w:jc w:val="both"/>
      </w:pPr>
      <w:r w:rsidRPr="00CD1FE5">
        <w:rPr>
          <w:i/>
        </w:rPr>
        <w:t>Нарушения со стороны репродуктивной системы</w:t>
      </w:r>
      <w:r w:rsidRPr="00CD1FE5">
        <w:t xml:space="preserve">: очень редко </w:t>
      </w:r>
      <w:r w:rsidR="00CC1121">
        <w:t>—</w:t>
      </w:r>
      <w:r w:rsidRPr="00CD1FE5">
        <w:t xml:space="preserve"> гинекомастия;</w:t>
      </w:r>
    </w:p>
    <w:p w14:paraId="0EC3AC22" w14:textId="77777777" w:rsidR="00CD1FE5" w:rsidRPr="00CD1FE5" w:rsidRDefault="00CD1FE5" w:rsidP="00CD1FE5">
      <w:pPr>
        <w:jc w:val="both"/>
      </w:pPr>
      <w:r w:rsidRPr="00CD1FE5">
        <w:t xml:space="preserve">Изменений других лабораторных показателей в ходе приема </w:t>
      </w:r>
      <w:proofErr w:type="spellStart"/>
      <w:r w:rsidRPr="00CD1FE5">
        <w:t>рабепразола</w:t>
      </w:r>
      <w:proofErr w:type="spellEnd"/>
      <w:r w:rsidRPr="00CD1FE5">
        <w:t xml:space="preserve"> натрия не наблюдалось.</w:t>
      </w:r>
    </w:p>
    <w:p w14:paraId="03AF55C5" w14:textId="08E3E1FB" w:rsidR="00CD1FE5" w:rsidRDefault="00CD1FE5" w:rsidP="00CD1FE5">
      <w:pPr>
        <w:jc w:val="both"/>
      </w:pPr>
      <w:r w:rsidRPr="00CD1FE5">
        <w:lastRenderedPageBreak/>
        <w:t xml:space="preserve">Согласно данным </w:t>
      </w:r>
      <w:proofErr w:type="spellStart"/>
      <w:r w:rsidRPr="00CD1FE5">
        <w:t>постмаркетинговых</w:t>
      </w:r>
      <w:proofErr w:type="spellEnd"/>
      <w:r w:rsidRPr="00CD1FE5">
        <w:t xml:space="preserve"> наблюдений при приеме ингибиторов протонной помпы (ИПП) возможно увеличение риска возникновения переломов, подострой кожной красной волчанки и железистых полипов дна желудка (см. раздел</w:t>
      </w:r>
      <w:r w:rsidR="00CC1121">
        <w:t xml:space="preserve"> </w:t>
      </w:r>
      <w:r w:rsidRPr="00CD1FE5">
        <w:t xml:space="preserve">«Особые указания»). </w:t>
      </w:r>
      <w:r w:rsidR="00360DC2">
        <w:t>Зарегистрированы редкие случаи печеночной энцефалопатии у пациентов с циррозом</w:t>
      </w:r>
      <w:r w:rsidRPr="00CD1FE5">
        <w:t>.</w:t>
      </w:r>
    </w:p>
    <w:p w14:paraId="787A09A1" w14:textId="59DA5D2D" w:rsidR="00CD1FE5" w:rsidRDefault="006547FA" w:rsidP="006547FA">
      <w:pPr>
        <w:jc w:val="both"/>
      </w:pPr>
      <w:bookmarkStart w:id="1" w:name="_Hlk141258609"/>
      <w:r w:rsidRPr="00F11A45">
        <w:rPr>
          <w:vertAlign w:val="superscript"/>
        </w:rPr>
        <w:t>1</w:t>
      </w:r>
      <w:r>
        <w:t xml:space="preserve"> При применении ИПП </w:t>
      </w:r>
      <w:r w:rsidRPr="006547FA">
        <w:t xml:space="preserve">может повышаться </w:t>
      </w:r>
      <w:r>
        <w:t>р</w:t>
      </w:r>
      <w:r w:rsidRPr="006547FA">
        <w:t xml:space="preserve">иск развития острого </w:t>
      </w:r>
      <w:proofErr w:type="spellStart"/>
      <w:r w:rsidRPr="006547FA">
        <w:t>тубулоинтерстициального</w:t>
      </w:r>
      <w:proofErr w:type="spellEnd"/>
      <w:r w:rsidRPr="006547FA">
        <w:t xml:space="preserve"> нефрита </w:t>
      </w:r>
      <w:r>
        <w:t>(с возможным</w:t>
      </w:r>
      <w:r>
        <w:rPr>
          <w:lang w:val="en-US"/>
        </w:rPr>
        <w:t xml:space="preserve"> </w:t>
      </w:r>
      <w:r>
        <w:t xml:space="preserve">прогрессированием </w:t>
      </w:r>
      <w:r w:rsidR="00B143D7">
        <w:t xml:space="preserve">до </w:t>
      </w:r>
      <w:r>
        <w:t>почечной недостаточности).</w:t>
      </w:r>
    </w:p>
    <w:bookmarkEnd w:id="1"/>
    <w:p w14:paraId="088D3A08" w14:textId="77777777" w:rsidR="006547FA" w:rsidRPr="00CD1FE5" w:rsidRDefault="006547FA" w:rsidP="006547FA">
      <w:pPr>
        <w:jc w:val="both"/>
      </w:pPr>
    </w:p>
    <w:p w14:paraId="7CD065FD" w14:textId="77777777" w:rsidR="00211EBD" w:rsidRPr="004F50E8" w:rsidRDefault="00211EBD" w:rsidP="00F20491">
      <w:pPr>
        <w:pStyle w:val="NoSpacing"/>
        <w:ind w:firstLine="0"/>
        <w:rPr>
          <w:b/>
          <w:szCs w:val="24"/>
          <w:lang w:val="ru-RU"/>
        </w:rPr>
      </w:pPr>
      <w:r w:rsidRPr="004F50E8">
        <w:rPr>
          <w:b/>
          <w:szCs w:val="24"/>
          <w:lang w:val="ru-RU"/>
        </w:rPr>
        <w:t>Передозировка</w:t>
      </w:r>
    </w:p>
    <w:p w14:paraId="61E58887" w14:textId="77777777" w:rsidR="00211EBD" w:rsidRPr="004F50E8" w:rsidRDefault="00211EBD" w:rsidP="00F20491">
      <w:pPr>
        <w:pStyle w:val="NoSpacing"/>
        <w:ind w:firstLine="0"/>
        <w:rPr>
          <w:i/>
          <w:iCs/>
          <w:szCs w:val="24"/>
          <w:lang w:val="ru-RU"/>
        </w:rPr>
      </w:pPr>
      <w:r w:rsidRPr="004F50E8">
        <w:rPr>
          <w:i/>
          <w:iCs/>
          <w:szCs w:val="24"/>
          <w:lang w:val="ru-RU"/>
        </w:rPr>
        <w:t>Симптомы</w:t>
      </w:r>
    </w:p>
    <w:p w14:paraId="3DB3995B" w14:textId="77777777" w:rsidR="00211EBD" w:rsidRPr="004F50E8" w:rsidRDefault="00211EBD" w:rsidP="00F20491">
      <w:pPr>
        <w:pStyle w:val="NoSpacing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Данные о намеренной или случайной передозировке минимальны. Случаев сильной передозировки </w:t>
      </w:r>
      <w:proofErr w:type="spellStart"/>
      <w:r w:rsidRPr="004F50E8">
        <w:rPr>
          <w:szCs w:val="24"/>
          <w:lang w:val="ru-RU"/>
        </w:rPr>
        <w:t>рабепразолом</w:t>
      </w:r>
      <w:proofErr w:type="spellEnd"/>
      <w:r w:rsidRPr="004F50E8">
        <w:rPr>
          <w:szCs w:val="24"/>
          <w:lang w:val="ru-RU"/>
        </w:rPr>
        <w:t xml:space="preserve"> не было отмечено.</w:t>
      </w:r>
    </w:p>
    <w:p w14:paraId="2E0F0AA2" w14:textId="77777777" w:rsidR="00211EBD" w:rsidRPr="004F50E8" w:rsidRDefault="00211EBD" w:rsidP="00F20491">
      <w:pPr>
        <w:pStyle w:val="NoSpacing"/>
        <w:ind w:firstLine="0"/>
        <w:rPr>
          <w:i/>
          <w:iCs/>
          <w:szCs w:val="24"/>
          <w:lang w:val="ru-RU"/>
        </w:rPr>
      </w:pPr>
      <w:r w:rsidRPr="004F50E8">
        <w:rPr>
          <w:i/>
          <w:iCs/>
          <w:szCs w:val="24"/>
          <w:lang w:val="ru-RU"/>
        </w:rPr>
        <w:t>Лечение</w:t>
      </w:r>
    </w:p>
    <w:p w14:paraId="1217A2C6" w14:textId="77777777" w:rsidR="00211EBD" w:rsidRDefault="00211EBD" w:rsidP="00F20491">
      <w:pPr>
        <w:jc w:val="both"/>
      </w:pPr>
      <w:r w:rsidRPr="004F50E8">
        <w:t xml:space="preserve">Специфический антидот для препарата </w:t>
      </w:r>
      <w:proofErr w:type="spellStart"/>
      <w:r w:rsidRPr="004F50E8">
        <w:t>Париет</w:t>
      </w:r>
      <w:proofErr w:type="spellEnd"/>
      <w:r w:rsidRPr="004F50E8">
        <w:rPr>
          <w:vertAlign w:val="superscript"/>
        </w:rPr>
        <w:t>®</w:t>
      </w:r>
      <w:r w:rsidRPr="004F50E8">
        <w:t xml:space="preserve"> неизвестен. </w:t>
      </w:r>
      <w:proofErr w:type="spellStart"/>
      <w:r w:rsidRPr="004F50E8">
        <w:t>Рабепразол</w:t>
      </w:r>
      <w:proofErr w:type="spellEnd"/>
      <w:r w:rsidRPr="004F50E8">
        <w:t xml:space="preserve"> хорошо связывается с белками плазмы, и поэтому слабо выводится при диализе. При передозировке</w:t>
      </w:r>
      <w:r>
        <w:t xml:space="preserve"> </w:t>
      </w:r>
      <w:r w:rsidRPr="004F50E8">
        <w:t>необходимо проводить симптоматическое и поддерживающее лечение.</w:t>
      </w:r>
    </w:p>
    <w:p w14:paraId="2FCC4911" w14:textId="77777777" w:rsidR="00CD1FE5" w:rsidRDefault="00CD1FE5" w:rsidP="00F20491">
      <w:pPr>
        <w:jc w:val="both"/>
      </w:pPr>
    </w:p>
    <w:p w14:paraId="4B1BE16C" w14:textId="77777777" w:rsidR="00CD1FE5" w:rsidRPr="006547FA" w:rsidRDefault="00CD1FE5" w:rsidP="00CD1FE5">
      <w:pPr>
        <w:jc w:val="both"/>
        <w:rPr>
          <w:b/>
        </w:rPr>
      </w:pPr>
      <w:r w:rsidRPr="006547FA">
        <w:rPr>
          <w:b/>
        </w:rPr>
        <w:t xml:space="preserve">Взаимодействие с другими препаратами </w:t>
      </w:r>
    </w:p>
    <w:p w14:paraId="07A3DAAF" w14:textId="77777777" w:rsidR="00CD1FE5" w:rsidRPr="006547FA" w:rsidRDefault="00CD1FE5" w:rsidP="00CD1FE5">
      <w:pPr>
        <w:jc w:val="both"/>
        <w:rPr>
          <w:bCs/>
          <w:i/>
          <w:iCs/>
        </w:rPr>
      </w:pPr>
      <w:r w:rsidRPr="006547FA">
        <w:rPr>
          <w:bCs/>
          <w:i/>
          <w:iCs/>
        </w:rPr>
        <w:t xml:space="preserve">Система </w:t>
      </w:r>
      <w:proofErr w:type="spellStart"/>
      <w:r w:rsidRPr="006547FA">
        <w:rPr>
          <w:bCs/>
          <w:i/>
          <w:iCs/>
        </w:rPr>
        <w:t>цитохрома</w:t>
      </w:r>
      <w:proofErr w:type="spellEnd"/>
      <w:r w:rsidRPr="006547FA">
        <w:rPr>
          <w:bCs/>
          <w:i/>
          <w:iCs/>
        </w:rPr>
        <w:t xml:space="preserve"> 450</w:t>
      </w:r>
    </w:p>
    <w:p w14:paraId="34091503" w14:textId="77777777" w:rsidR="00CD1FE5" w:rsidRPr="00CD1FE5" w:rsidRDefault="00CD1FE5" w:rsidP="00CD1FE5">
      <w:pPr>
        <w:jc w:val="both"/>
      </w:pPr>
      <w:proofErr w:type="spellStart"/>
      <w:r w:rsidRPr="00CD1FE5">
        <w:t>Рабепразол</w:t>
      </w:r>
      <w:proofErr w:type="spellEnd"/>
      <w:r w:rsidRPr="00CD1FE5">
        <w:t xml:space="preserve"> натрия, как и другие ингибиторы протонной помпы (ИПП), </w:t>
      </w:r>
      <w:proofErr w:type="spellStart"/>
      <w:r w:rsidRPr="00CD1FE5">
        <w:t>метаболизируется</w:t>
      </w:r>
      <w:proofErr w:type="spellEnd"/>
      <w:r w:rsidRPr="00CD1FE5">
        <w:t xml:space="preserve"> с участием системы </w:t>
      </w:r>
      <w:proofErr w:type="spellStart"/>
      <w:r w:rsidRPr="00CD1FE5">
        <w:t>цитохрома</w:t>
      </w:r>
      <w:proofErr w:type="spellEnd"/>
      <w:r w:rsidRPr="00CD1FE5">
        <w:t xml:space="preserve"> P450 (CYP450) в печени. В исследованиях </w:t>
      </w:r>
      <w:proofErr w:type="spellStart"/>
      <w:r w:rsidRPr="00CD1FE5">
        <w:t>in</w:t>
      </w:r>
      <w:proofErr w:type="spellEnd"/>
      <w:r w:rsidRPr="00CD1FE5">
        <w:t xml:space="preserve"> </w:t>
      </w:r>
      <w:proofErr w:type="spellStart"/>
      <w:r w:rsidRPr="00CD1FE5">
        <w:t>vitro</w:t>
      </w:r>
      <w:proofErr w:type="spellEnd"/>
      <w:r w:rsidRPr="00CD1FE5">
        <w:t xml:space="preserve"> на микросомах печени человека было показано, что </w:t>
      </w:r>
      <w:proofErr w:type="spellStart"/>
      <w:r w:rsidRPr="00CD1FE5">
        <w:t>рабепразол</w:t>
      </w:r>
      <w:proofErr w:type="spellEnd"/>
      <w:r w:rsidRPr="00CD1FE5">
        <w:t xml:space="preserve"> натрия </w:t>
      </w:r>
      <w:proofErr w:type="spellStart"/>
      <w:r w:rsidRPr="00CD1FE5">
        <w:t>метаболизируется</w:t>
      </w:r>
      <w:proofErr w:type="spellEnd"/>
      <w:r w:rsidRPr="00CD1FE5">
        <w:t xml:space="preserve"> изоферментами CYP2C19 и CYP3A4. </w:t>
      </w:r>
    </w:p>
    <w:p w14:paraId="5B77D8B9" w14:textId="36CCF96B" w:rsidR="00F5051D" w:rsidRPr="00F5051D" w:rsidRDefault="00F5051D" w:rsidP="00F5051D">
      <w:pPr>
        <w:jc w:val="both"/>
      </w:pPr>
      <w:r w:rsidRPr="00F5051D">
        <w:t xml:space="preserve">Исследования на здоровых добровольцах показали, что </w:t>
      </w:r>
      <w:proofErr w:type="spellStart"/>
      <w:r w:rsidRPr="00F5051D">
        <w:t>рабепразол</w:t>
      </w:r>
      <w:proofErr w:type="spellEnd"/>
      <w:r w:rsidRPr="00F5051D">
        <w:t xml:space="preserve"> натрия не вступает в </w:t>
      </w:r>
      <w:proofErr w:type="spellStart"/>
      <w:r w:rsidRPr="00F5051D">
        <w:t>фармакокинетически</w:t>
      </w:r>
      <w:proofErr w:type="spellEnd"/>
      <w:r w:rsidRPr="00F5051D">
        <w:t xml:space="preserve"> или клинически значимые взаимодействия с лекарственными веществами, которые </w:t>
      </w:r>
      <w:proofErr w:type="spellStart"/>
      <w:r w:rsidRPr="00F5051D">
        <w:t>метаболизируется</w:t>
      </w:r>
      <w:proofErr w:type="spellEnd"/>
      <w:r w:rsidRPr="00F5051D">
        <w:t xml:space="preserve"> системой </w:t>
      </w:r>
      <w:proofErr w:type="spellStart"/>
      <w:r w:rsidRPr="00F5051D">
        <w:t>цитохрома</w:t>
      </w:r>
      <w:proofErr w:type="spellEnd"/>
      <w:r w:rsidRPr="00F5051D">
        <w:t xml:space="preserve"> P450 - </w:t>
      </w:r>
      <w:proofErr w:type="spellStart"/>
      <w:r w:rsidRPr="00F5051D">
        <w:t>варфарином</w:t>
      </w:r>
      <w:proofErr w:type="spellEnd"/>
      <w:r w:rsidRPr="00F5051D">
        <w:t xml:space="preserve">, </w:t>
      </w:r>
      <w:proofErr w:type="spellStart"/>
      <w:r w:rsidRPr="00F5051D">
        <w:t>фенитоином</w:t>
      </w:r>
      <w:proofErr w:type="spellEnd"/>
      <w:r w:rsidRPr="00F5051D">
        <w:t xml:space="preserve">, теофиллином и </w:t>
      </w:r>
      <w:proofErr w:type="spellStart"/>
      <w:r w:rsidRPr="00F5051D">
        <w:t>диазепамом</w:t>
      </w:r>
      <w:proofErr w:type="spellEnd"/>
      <w:r w:rsidRPr="00F5051D">
        <w:t xml:space="preserve"> (независимо от высокой или низкой активности фермента, </w:t>
      </w:r>
      <w:proofErr w:type="spellStart"/>
      <w:r w:rsidRPr="00F5051D">
        <w:t>метаболизирующего</w:t>
      </w:r>
      <w:proofErr w:type="spellEnd"/>
      <w:r w:rsidRPr="00F5051D">
        <w:t xml:space="preserve"> </w:t>
      </w:r>
      <w:proofErr w:type="spellStart"/>
      <w:r w:rsidRPr="00F5051D">
        <w:t>диазепам</w:t>
      </w:r>
      <w:proofErr w:type="spellEnd"/>
      <w:r w:rsidRPr="00F5051D">
        <w:t xml:space="preserve">). </w:t>
      </w:r>
    </w:p>
    <w:p w14:paraId="1FC219BC" w14:textId="77777777" w:rsidR="00F5051D" w:rsidRPr="00D6143A" w:rsidRDefault="00F5051D" w:rsidP="00F5051D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6143A">
        <w:rPr>
          <w:i/>
          <w:iCs/>
        </w:rPr>
        <w:t>Комбинированная терапия с антибактериальными препаратами</w:t>
      </w:r>
    </w:p>
    <w:p w14:paraId="746203AE" w14:textId="708955AF" w:rsidR="00CD1FE5" w:rsidRPr="00CD1FE5" w:rsidRDefault="00CD1FE5" w:rsidP="00CD1FE5">
      <w:pPr>
        <w:jc w:val="both"/>
      </w:pPr>
      <w:r w:rsidRPr="00CD1FE5">
        <w:t xml:space="preserve">Было проведено исследование комбинированной терапии с антибактериальными препаратами. В данном четырехстороннем перекрестном исследовании участвовали 16 здоровых добровольцев, которые получали 20 мг </w:t>
      </w:r>
      <w:proofErr w:type="spellStart"/>
      <w:r w:rsidRPr="00CD1FE5">
        <w:t>рабепразола</w:t>
      </w:r>
      <w:proofErr w:type="spellEnd"/>
      <w:r w:rsidRPr="00CD1FE5">
        <w:t xml:space="preserve">, 1000 мг амоксициллина, 500 мг </w:t>
      </w:r>
      <w:proofErr w:type="spellStart"/>
      <w:r w:rsidRPr="00CD1FE5">
        <w:t>кларитромицина</w:t>
      </w:r>
      <w:proofErr w:type="spellEnd"/>
      <w:r w:rsidRPr="00CD1FE5">
        <w:t xml:space="preserve"> или комбинацию этих трех препаратов (РАК </w:t>
      </w:r>
      <w:r w:rsidR="00CC1121">
        <w:t>—</w:t>
      </w:r>
      <w:r w:rsidRPr="00CD1FE5">
        <w:t xml:space="preserve"> </w:t>
      </w:r>
      <w:proofErr w:type="spellStart"/>
      <w:r w:rsidRPr="00CD1FE5">
        <w:t>рабепразол</w:t>
      </w:r>
      <w:proofErr w:type="spellEnd"/>
      <w:r w:rsidRPr="00CD1FE5">
        <w:t xml:space="preserve">, амоксициллин, </w:t>
      </w:r>
      <w:proofErr w:type="spellStart"/>
      <w:r w:rsidRPr="00CD1FE5">
        <w:t>кларитромицин</w:t>
      </w:r>
      <w:proofErr w:type="spellEnd"/>
      <w:r w:rsidRPr="00CD1FE5">
        <w:t xml:space="preserve">). Показатели AUC и </w:t>
      </w:r>
      <w:proofErr w:type="spellStart"/>
      <w:r w:rsidRPr="00CD1FE5">
        <w:t>Cmax</w:t>
      </w:r>
      <w:proofErr w:type="spellEnd"/>
      <w:r w:rsidRPr="00CD1FE5">
        <w:t xml:space="preserve"> для </w:t>
      </w:r>
      <w:proofErr w:type="spellStart"/>
      <w:r w:rsidRPr="00CD1FE5">
        <w:t>кларитромицина</w:t>
      </w:r>
      <w:proofErr w:type="spellEnd"/>
      <w:r w:rsidRPr="00CD1FE5">
        <w:t xml:space="preserve"> и амоксициллина были схожими при сравнении комбинированной терапии с </w:t>
      </w:r>
      <w:proofErr w:type="spellStart"/>
      <w:r w:rsidRPr="00CD1FE5">
        <w:t>монотерапией</w:t>
      </w:r>
      <w:proofErr w:type="spellEnd"/>
      <w:r w:rsidRPr="00CD1FE5">
        <w:t xml:space="preserve">. Показатели AUC и </w:t>
      </w:r>
      <w:proofErr w:type="spellStart"/>
      <w:r w:rsidRPr="00CD1FE5">
        <w:t>Cmax</w:t>
      </w:r>
      <w:proofErr w:type="spellEnd"/>
      <w:r w:rsidRPr="00CD1FE5">
        <w:t xml:space="preserve"> для </w:t>
      </w:r>
      <w:proofErr w:type="spellStart"/>
      <w:r w:rsidRPr="00CD1FE5">
        <w:t>рабепразола</w:t>
      </w:r>
      <w:proofErr w:type="spellEnd"/>
      <w:r w:rsidRPr="00CD1FE5">
        <w:t xml:space="preserve"> увеличились на 11</w:t>
      </w:r>
      <w:r w:rsidR="00CC1121">
        <w:t xml:space="preserve"> </w:t>
      </w:r>
      <w:r w:rsidRPr="00CD1FE5">
        <w:t>% и</w:t>
      </w:r>
      <w:r>
        <w:t xml:space="preserve"> </w:t>
      </w:r>
      <w:r w:rsidRPr="00CD1FE5">
        <w:t>34</w:t>
      </w:r>
      <w:r w:rsidR="00CC1121">
        <w:t xml:space="preserve"> </w:t>
      </w:r>
      <w:r w:rsidRPr="00CD1FE5">
        <w:t xml:space="preserve">%, соответственно, а для 14-гидрокси-кларитромицина (активного метаболита </w:t>
      </w:r>
      <w:proofErr w:type="spellStart"/>
      <w:r w:rsidRPr="00CD1FE5">
        <w:t>кларитромицина</w:t>
      </w:r>
      <w:proofErr w:type="spellEnd"/>
      <w:r w:rsidRPr="00CD1FE5">
        <w:t xml:space="preserve">) AUC и </w:t>
      </w:r>
      <w:proofErr w:type="spellStart"/>
      <w:r w:rsidRPr="00CD1FE5">
        <w:t>Cmax</w:t>
      </w:r>
      <w:proofErr w:type="spellEnd"/>
      <w:r w:rsidRPr="00CD1FE5">
        <w:t xml:space="preserve"> увеличились на 42</w:t>
      </w:r>
      <w:r w:rsidR="00CC1121">
        <w:t xml:space="preserve"> </w:t>
      </w:r>
      <w:r w:rsidRPr="00CD1FE5">
        <w:t>% и 46</w:t>
      </w:r>
      <w:r w:rsidR="00CC1121">
        <w:t xml:space="preserve"> </w:t>
      </w:r>
      <w:r w:rsidRPr="00CD1FE5">
        <w:t xml:space="preserve">% соответственно, для комбинированной терапии в сравнении с </w:t>
      </w:r>
      <w:proofErr w:type="spellStart"/>
      <w:r w:rsidRPr="00CD1FE5">
        <w:t>монотерапией</w:t>
      </w:r>
      <w:proofErr w:type="spellEnd"/>
      <w:r w:rsidRPr="00CD1FE5">
        <w:t xml:space="preserve">. </w:t>
      </w:r>
      <w:r w:rsidR="00F5051D" w:rsidRPr="00F5051D">
        <w:t xml:space="preserve">Данное увеличение экспозиции </w:t>
      </w:r>
      <w:proofErr w:type="spellStart"/>
      <w:r w:rsidR="00F5051D" w:rsidRPr="00F5051D">
        <w:t>рабепразола</w:t>
      </w:r>
      <w:proofErr w:type="spellEnd"/>
      <w:r w:rsidR="00F5051D" w:rsidRPr="00F5051D">
        <w:t xml:space="preserve"> и 14-гидрокси-кларитромицина не было признано клинически значимым</w:t>
      </w:r>
      <w:r w:rsidRPr="00CD1FE5">
        <w:t xml:space="preserve">. </w:t>
      </w:r>
    </w:p>
    <w:p w14:paraId="6F3427DD" w14:textId="77777777" w:rsidR="00CD1FE5" w:rsidRPr="00CD1FE5" w:rsidRDefault="00CD1FE5" w:rsidP="00CD1FE5">
      <w:pPr>
        <w:jc w:val="both"/>
        <w:rPr>
          <w:bCs/>
          <w:i/>
        </w:rPr>
      </w:pPr>
      <w:r w:rsidRPr="00CD1FE5">
        <w:rPr>
          <w:bCs/>
          <w:i/>
        </w:rPr>
        <w:t>Взаимодействия вследствие ингибирования секреции желудочного сока</w:t>
      </w:r>
    </w:p>
    <w:p w14:paraId="3EEA3AA7" w14:textId="153CB03D" w:rsidR="00CD1FE5" w:rsidRPr="00CD1FE5" w:rsidRDefault="00CD1FE5" w:rsidP="00CD1FE5">
      <w:pPr>
        <w:jc w:val="both"/>
      </w:pPr>
      <w:proofErr w:type="spellStart"/>
      <w:r w:rsidRPr="00CD1FE5">
        <w:t>Рабепразол</w:t>
      </w:r>
      <w:proofErr w:type="spellEnd"/>
      <w:r w:rsidRPr="00CD1FE5">
        <w:t xml:space="preserve"> натрия осуществляет устойчивое и продолжительное подавление секреции желудочного сока. </w:t>
      </w:r>
      <w:r w:rsidR="00F5051D" w:rsidRPr="00F5051D">
        <w:t xml:space="preserve">Таким образом, может происходить взаимодействие с веществами, абсорбция которых зависит от </w:t>
      </w:r>
      <w:proofErr w:type="spellStart"/>
      <w:r w:rsidR="00F5051D" w:rsidRPr="00F5051D">
        <w:t>pH</w:t>
      </w:r>
      <w:proofErr w:type="spellEnd"/>
      <w:r w:rsidR="00F5051D" w:rsidRPr="00F5051D">
        <w:t xml:space="preserve">. При одновременном приеме с </w:t>
      </w:r>
      <w:proofErr w:type="spellStart"/>
      <w:r w:rsidR="00F5051D" w:rsidRPr="00F5051D">
        <w:t>рабепразолом</w:t>
      </w:r>
      <w:proofErr w:type="spellEnd"/>
      <w:r w:rsidR="00F5051D" w:rsidRPr="00F5051D">
        <w:t xml:space="preserve"> натрия уровни </w:t>
      </w:r>
      <w:proofErr w:type="spellStart"/>
      <w:r w:rsidR="00F5051D" w:rsidRPr="00F5051D">
        <w:t>кетоконазола</w:t>
      </w:r>
      <w:proofErr w:type="spellEnd"/>
      <w:r w:rsidR="00F5051D" w:rsidRPr="00F5051D">
        <w:t xml:space="preserve"> уменьшаются на 30 %, а остаточные уровни </w:t>
      </w:r>
      <w:proofErr w:type="spellStart"/>
      <w:r w:rsidR="00F5051D" w:rsidRPr="00F5051D">
        <w:t>дигоксина</w:t>
      </w:r>
      <w:proofErr w:type="spellEnd"/>
      <w:r w:rsidR="00F5051D" w:rsidRPr="00F5051D">
        <w:t xml:space="preserve"> увеличиваются на 22 %. Следовательно, за определенными пациентами может потребоваться наблюдение для решения вопроса о необходимости корректировки дозы при одновременном приеме </w:t>
      </w:r>
      <w:proofErr w:type="spellStart"/>
      <w:r w:rsidR="00F5051D" w:rsidRPr="00F5051D">
        <w:t>рабепразола</w:t>
      </w:r>
      <w:proofErr w:type="spellEnd"/>
      <w:r w:rsidR="00F5051D" w:rsidRPr="00F5051D">
        <w:t xml:space="preserve"> натрия с </w:t>
      </w:r>
      <w:proofErr w:type="spellStart"/>
      <w:r w:rsidR="00F5051D" w:rsidRPr="00F5051D">
        <w:t>кетоконазолом</w:t>
      </w:r>
      <w:proofErr w:type="spellEnd"/>
      <w:r w:rsidR="00F5051D" w:rsidRPr="00F5051D">
        <w:t xml:space="preserve">, </w:t>
      </w:r>
      <w:proofErr w:type="spellStart"/>
      <w:r w:rsidR="00F5051D" w:rsidRPr="00F5051D">
        <w:t>дигоксином</w:t>
      </w:r>
      <w:proofErr w:type="spellEnd"/>
      <w:r w:rsidR="00F5051D" w:rsidRPr="00F5051D">
        <w:t xml:space="preserve"> или другими лекарственными препаратами, абсорбция которых зависит от </w:t>
      </w:r>
      <w:proofErr w:type="spellStart"/>
      <w:r w:rsidR="00F5051D" w:rsidRPr="00F5051D">
        <w:t>pH</w:t>
      </w:r>
      <w:proofErr w:type="spellEnd"/>
      <w:r w:rsidRPr="00CD1FE5">
        <w:t>.</w:t>
      </w:r>
    </w:p>
    <w:p w14:paraId="3AD8EBC4" w14:textId="77777777" w:rsidR="00CD1FE5" w:rsidRPr="00CD1FE5" w:rsidRDefault="00CD1FE5" w:rsidP="00CD1FE5">
      <w:pPr>
        <w:jc w:val="both"/>
        <w:rPr>
          <w:bCs/>
          <w:i/>
        </w:rPr>
      </w:pPr>
      <w:proofErr w:type="spellStart"/>
      <w:r w:rsidRPr="00CD1FE5">
        <w:rPr>
          <w:bCs/>
          <w:i/>
        </w:rPr>
        <w:t>Атазанавир</w:t>
      </w:r>
      <w:proofErr w:type="spellEnd"/>
    </w:p>
    <w:p w14:paraId="2ED9828A" w14:textId="06F18CFC" w:rsidR="00CD1FE5" w:rsidRPr="00CD1FE5" w:rsidRDefault="00CD1FE5" w:rsidP="00CD1FE5">
      <w:pPr>
        <w:jc w:val="both"/>
      </w:pPr>
      <w:r w:rsidRPr="00CD1FE5">
        <w:t xml:space="preserve">При одновременном приеме </w:t>
      </w:r>
      <w:proofErr w:type="spellStart"/>
      <w:r w:rsidRPr="00CD1FE5">
        <w:t>атазанавира</w:t>
      </w:r>
      <w:proofErr w:type="spellEnd"/>
      <w:r w:rsidRPr="00CD1FE5">
        <w:t xml:space="preserve"> 300 мг / </w:t>
      </w:r>
      <w:proofErr w:type="spellStart"/>
      <w:r w:rsidRPr="00CD1FE5">
        <w:t>ритонавира</w:t>
      </w:r>
      <w:proofErr w:type="spellEnd"/>
      <w:r w:rsidRPr="00CD1FE5">
        <w:t xml:space="preserve"> 100</w:t>
      </w:r>
      <w:r w:rsidR="00CC1121">
        <w:t xml:space="preserve"> </w:t>
      </w:r>
      <w:r w:rsidRPr="00CD1FE5">
        <w:t xml:space="preserve">мг с </w:t>
      </w:r>
      <w:proofErr w:type="spellStart"/>
      <w:r w:rsidRPr="00CD1FE5">
        <w:t>омепразолом</w:t>
      </w:r>
      <w:proofErr w:type="spellEnd"/>
      <w:r w:rsidRPr="00CD1FE5">
        <w:t xml:space="preserve"> (40 мг 1 раз в день) или </w:t>
      </w:r>
      <w:proofErr w:type="spellStart"/>
      <w:r w:rsidRPr="00CD1FE5">
        <w:t>атазанавира</w:t>
      </w:r>
      <w:proofErr w:type="spellEnd"/>
      <w:r w:rsidRPr="00CD1FE5">
        <w:t xml:space="preserve"> 400 мг с </w:t>
      </w:r>
      <w:proofErr w:type="spellStart"/>
      <w:r w:rsidRPr="00CD1FE5">
        <w:t>лансопразолом</w:t>
      </w:r>
      <w:proofErr w:type="spellEnd"/>
      <w:r w:rsidRPr="00CD1FE5">
        <w:t xml:space="preserve"> (60 мг 1 раз в день) здоровыми добровольцами наблюдалось существенное </w:t>
      </w:r>
      <w:r w:rsidR="00FB0690">
        <w:t xml:space="preserve">снижение </w:t>
      </w:r>
      <w:r w:rsidR="00F5051D">
        <w:t>экспозиции</w:t>
      </w:r>
      <w:r w:rsidR="00F5051D" w:rsidRPr="00AE078E">
        <w:t xml:space="preserve"> </w:t>
      </w:r>
      <w:proofErr w:type="spellStart"/>
      <w:r w:rsidRPr="00CD1FE5">
        <w:t>атазанавира</w:t>
      </w:r>
      <w:proofErr w:type="spellEnd"/>
      <w:r w:rsidRPr="00CD1FE5">
        <w:t xml:space="preserve">. Абсорбция </w:t>
      </w:r>
      <w:proofErr w:type="spellStart"/>
      <w:r w:rsidRPr="00CD1FE5">
        <w:t>атазанавира</w:t>
      </w:r>
      <w:proofErr w:type="spellEnd"/>
      <w:r w:rsidRPr="00CD1FE5">
        <w:t xml:space="preserve"> зависит от </w:t>
      </w:r>
      <w:proofErr w:type="spellStart"/>
      <w:r w:rsidRPr="00CD1FE5">
        <w:t>pH</w:t>
      </w:r>
      <w:proofErr w:type="spellEnd"/>
      <w:r w:rsidRPr="00CD1FE5">
        <w:t xml:space="preserve">. Хотя одновременный прием с </w:t>
      </w:r>
      <w:proofErr w:type="spellStart"/>
      <w:r w:rsidRPr="00CD1FE5">
        <w:t>рабепразолом</w:t>
      </w:r>
      <w:proofErr w:type="spellEnd"/>
      <w:r w:rsidRPr="00CD1FE5">
        <w:t xml:space="preserve"> не</w:t>
      </w:r>
      <w:r>
        <w:t xml:space="preserve"> </w:t>
      </w:r>
      <w:r w:rsidRPr="00CD1FE5">
        <w:t xml:space="preserve">изучался, схожие результаты ожидаются также </w:t>
      </w:r>
      <w:r w:rsidRPr="00CD1FE5">
        <w:lastRenderedPageBreak/>
        <w:t xml:space="preserve">для других ингибиторов протонного насоса. Таким образом, не рекомендуется одновременный прием </w:t>
      </w:r>
      <w:proofErr w:type="spellStart"/>
      <w:r w:rsidRPr="00CD1FE5">
        <w:t>атазанавира</w:t>
      </w:r>
      <w:proofErr w:type="spellEnd"/>
      <w:r w:rsidRPr="00CD1FE5">
        <w:t xml:space="preserve"> с ингибиторами протонного насоса, включая </w:t>
      </w:r>
      <w:proofErr w:type="spellStart"/>
      <w:r w:rsidRPr="00CD1FE5">
        <w:t>рабепразол</w:t>
      </w:r>
      <w:proofErr w:type="spellEnd"/>
      <w:r w:rsidRPr="00CD1FE5">
        <w:t>.</w:t>
      </w:r>
    </w:p>
    <w:p w14:paraId="6971B4C8" w14:textId="77777777" w:rsidR="00CD1FE5" w:rsidRPr="00CD1FE5" w:rsidRDefault="00CD1FE5" w:rsidP="00CD1FE5">
      <w:pPr>
        <w:jc w:val="both"/>
        <w:rPr>
          <w:bCs/>
          <w:i/>
        </w:rPr>
      </w:pPr>
      <w:proofErr w:type="spellStart"/>
      <w:r w:rsidRPr="00CD1FE5">
        <w:rPr>
          <w:bCs/>
          <w:i/>
        </w:rPr>
        <w:t>Антацидные</w:t>
      </w:r>
      <w:proofErr w:type="spellEnd"/>
      <w:r w:rsidRPr="00CD1FE5">
        <w:rPr>
          <w:bCs/>
          <w:i/>
        </w:rPr>
        <w:t xml:space="preserve"> средства</w:t>
      </w:r>
    </w:p>
    <w:p w14:paraId="4A3155E4" w14:textId="77777777" w:rsidR="00CD1FE5" w:rsidRPr="00CD1FE5" w:rsidRDefault="00CD1FE5" w:rsidP="00CD1FE5">
      <w:pPr>
        <w:jc w:val="both"/>
      </w:pPr>
      <w:r w:rsidRPr="00CD1FE5">
        <w:t xml:space="preserve">В клинических исследованиях </w:t>
      </w:r>
      <w:proofErr w:type="spellStart"/>
      <w:r w:rsidRPr="00CD1FE5">
        <w:t>антацидные</w:t>
      </w:r>
      <w:proofErr w:type="spellEnd"/>
      <w:r w:rsidRPr="00CD1FE5">
        <w:t xml:space="preserve"> вещества применялись совместно с </w:t>
      </w:r>
      <w:proofErr w:type="spellStart"/>
      <w:r w:rsidRPr="00CD1FE5">
        <w:t>рабепразолом</w:t>
      </w:r>
      <w:proofErr w:type="spellEnd"/>
      <w:r w:rsidRPr="00CD1FE5">
        <w:t xml:space="preserve"> натрия. Клинически значимые взаимодействия </w:t>
      </w:r>
      <w:proofErr w:type="spellStart"/>
      <w:r w:rsidRPr="00CD1FE5">
        <w:t>рабепразола</w:t>
      </w:r>
      <w:proofErr w:type="spellEnd"/>
      <w:r w:rsidRPr="00CD1FE5">
        <w:t xml:space="preserve"> натрия с гелем гидроксида алюминия или с гидроксидом магния не наблюдались.</w:t>
      </w:r>
    </w:p>
    <w:p w14:paraId="61B8E19F" w14:textId="77777777" w:rsidR="00CD1FE5" w:rsidRPr="00CD1FE5" w:rsidRDefault="00CD1FE5" w:rsidP="00CD1FE5">
      <w:pPr>
        <w:jc w:val="both"/>
        <w:rPr>
          <w:bCs/>
          <w:i/>
        </w:rPr>
      </w:pPr>
      <w:r w:rsidRPr="00CD1FE5">
        <w:rPr>
          <w:bCs/>
          <w:i/>
        </w:rPr>
        <w:t>Прием пищи</w:t>
      </w:r>
    </w:p>
    <w:p w14:paraId="0CB469C8" w14:textId="77777777" w:rsidR="00CD1FE5" w:rsidRPr="00CD1FE5" w:rsidRDefault="00CD1FE5" w:rsidP="00CD1FE5">
      <w:pPr>
        <w:jc w:val="both"/>
        <w:rPr>
          <w:b/>
          <w:i/>
        </w:rPr>
      </w:pPr>
      <w:r w:rsidRPr="00CD1FE5">
        <w:t xml:space="preserve">В клиническом исследовании в ходе приема </w:t>
      </w:r>
      <w:proofErr w:type="spellStart"/>
      <w:r w:rsidRPr="00CD1FE5">
        <w:t>рабепразола</w:t>
      </w:r>
      <w:proofErr w:type="spellEnd"/>
      <w:r w:rsidRPr="00CD1FE5">
        <w:t xml:space="preserve"> натрия с </w:t>
      </w:r>
      <w:r w:rsidR="00F5051D" w:rsidRPr="00F5051D">
        <w:t xml:space="preserve">обедненной жирами </w:t>
      </w:r>
      <w:r w:rsidRPr="00CD1FE5">
        <w:t xml:space="preserve">пищей клинически значимых взаимодействий не наблюдалось. Прием </w:t>
      </w:r>
      <w:proofErr w:type="spellStart"/>
      <w:r w:rsidRPr="00CD1FE5">
        <w:t>рабепразола</w:t>
      </w:r>
      <w:proofErr w:type="spellEnd"/>
      <w:r w:rsidRPr="00CD1FE5">
        <w:t xml:space="preserve"> натрия одновременно с обогащенной жирами пищей может замедлить всасывание </w:t>
      </w:r>
      <w:proofErr w:type="spellStart"/>
      <w:r w:rsidRPr="00CD1FE5">
        <w:t>рабепразола</w:t>
      </w:r>
      <w:proofErr w:type="spellEnd"/>
      <w:r w:rsidRPr="00CD1FE5">
        <w:t xml:space="preserve"> до 4 часов и более, однако </w:t>
      </w:r>
      <w:proofErr w:type="spellStart"/>
      <w:r w:rsidRPr="00CD1FE5">
        <w:t>Cmax</w:t>
      </w:r>
      <w:proofErr w:type="spellEnd"/>
      <w:r w:rsidRPr="00CD1FE5">
        <w:t xml:space="preserve"> и AUC не изменяются.</w:t>
      </w:r>
    </w:p>
    <w:p w14:paraId="004AC90B" w14:textId="77777777" w:rsidR="00CD1FE5" w:rsidRPr="00CD1FE5" w:rsidRDefault="00CD1FE5" w:rsidP="00CD1FE5">
      <w:pPr>
        <w:jc w:val="both"/>
        <w:rPr>
          <w:b/>
          <w:bCs/>
        </w:rPr>
      </w:pPr>
      <w:proofErr w:type="spellStart"/>
      <w:r w:rsidRPr="00CD1FE5">
        <w:rPr>
          <w:bCs/>
          <w:i/>
        </w:rPr>
        <w:t>Циклоспорин</w:t>
      </w:r>
      <w:proofErr w:type="spellEnd"/>
      <w:r w:rsidRPr="00CD1FE5">
        <w:rPr>
          <w:bCs/>
        </w:rPr>
        <w:t xml:space="preserve"> </w:t>
      </w:r>
    </w:p>
    <w:p w14:paraId="500F64FD" w14:textId="4E847569" w:rsidR="00CD1FE5" w:rsidRPr="00CD1FE5" w:rsidRDefault="00CD1FE5" w:rsidP="00CD1FE5">
      <w:pPr>
        <w:jc w:val="both"/>
      </w:pPr>
      <w:r w:rsidRPr="00CD1FE5">
        <w:t xml:space="preserve">Эксперименты </w:t>
      </w:r>
      <w:proofErr w:type="spellStart"/>
      <w:r w:rsidRPr="00CD1FE5">
        <w:t>in</w:t>
      </w:r>
      <w:proofErr w:type="spellEnd"/>
      <w:r w:rsidRPr="00CD1FE5">
        <w:t xml:space="preserve"> </w:t>
      </w:r>
      <w:proofErr w:type="spellStart"/>
      <w:r w:rsidRPr="00CD1FE5">
        <w:t>vitro</w:t>
      </w:r>
      <w:proofErr w:type="spellEnd"/>
      <w:r w:rsidRPr="00CD1FE5">
        <w:t xml:space="preserve"> c использованием микросом печени человека показали, что </w:t>
      </w:r>
      <w:proofErr w:type="spellStart"/>
      <w:r w:rsidRPr="00CD1FE5">
        <w:t>рабепразол</w:t>
      </w:r>
      <w:proofErr w:type="spellEnd"/>
      <w:r w:rsidRPr="00CD1FE5">
        <w:t xml:space="preserve"> ингибирует метаболизм </w:t>
      </w:r>
      <w:proofErr w:type="spellStart"/>
      <w:r w:rsidRPr="00CD1FE5">
        <w:t>циклоспорина</w:t>
      </w:r>
      <w:proofErr w:type="spellEnd"/>
      <w:r w:rsidRPr="00CD1FE5">
        <w:t xml:space="preserve"> с IC50 62 </w:t>
      </w:r>
      <w:proofErr w:type="spellStart"/>
      <w:r w:rsidR="00F5051D" w:rsidRPr="00F5051D">
        <w:t>мкмоль</w:t>
      </w:r>
      <w:proofErr w:type="spellEnd"/>
      <w:r w:rsidR="00F5051D" w:rsidRPr="00F5051D">
        <w:t xml:space="preserve">/л, </w:t>
      </w:r>
      <w:r w:rsidRPr="00CD1FE5">
        <w:t xml:space="preserve">т. е. в концентрации, в 50 раз превышающей </w:t>
      </w:r>
      <w:proofErr w:type="spellStart"/>
      <w:r w:rsidRPr="00CD1FE5">
        <w:t>Cmax</w:t>
      </w:r>
      <w:proofErr w:type="spellEnd"/>
      <w:r w:rsidRPr="00CD1FE5">
        <w:t xml:space="preserve"> </w:t>
      </w:r>
      <w:r w:rsidR="00F5051D">
        <w:t>у</w:t>
      </w:r>
      <w:r w:rsidRPr="00CD1FE5">
        <w:t xml:space="preserve"> здоровых добровольцев после 14 дней приема 20 мг </w:t>
      </w:r>
      <w:proofErr w:type="spellStart"/>
      <w:r w:rsidRPr="00CD1FE5">
        <w:t>рабепразола</w:t>
      </w:r>
      <w:proofErr w:type="spellEnd"/>
      <w:r w:rsidRPr="00CD1FE5">
        <w:t xml:space="preserve">. Степень ингибирования схожа с таковой для </w:t>
      </w:r>
      <w:proofErr w:type="spellStart"/>
      <w:r w:rsidRPr="00CD1FE5">
        <w:t>омепразола</w:t>
      </w:r>
      <w:proofErr w:type="spellEnd"/>
      <w:r w:rsidRPr="00CD1FE5">
        <w:t xml:space="preserve"> </w:t>
      </w:r>
      <w:r w:rsidR="00F5051D">
        <w:t>в</w:t>
      </w:r>
      <w:r w:rsidR="00F5051D" w:rsidRPr="00AE078E">
        <w:t xml:space="preserve"> эквивалентн</w:t>
      </w:r>
      <w:r w:rsidR="00F5051D">
        <w:t>ой</w:t>
      </w:r>
      <w:r w:rsidR="00F5051D" w:rsidRPr="00AE078E">
        <w:t xml:space="preserve"> концентраци</w:t>
      </w:r>
      <w:r w:rsidR="00F5051D">
        <w:t>и</w:t>
      </w:r>
      <w:r w:rsidRPr="00CD1FE5">
        <w:t>.</w:t>
      </w:r>
    </w:p>
    <w:p w14:paraId="79A22E60" w14:textId="77777777" w:rsidR="00CD1FE5" w:rsidRPr="00CD1FE5" w:rsidRDefault="00CD1FE5" w:rsidP="00CD1FE5">
      <w:pPr>
        <w:jc w:val="both"/>
        <w:rPr>
          <w:bCs/>
          <w:i/>
        </w:rPr>
      </w:pPr>
      <w:proofErr w:type="spellStart"/>
      <w:r w:rsidRPr="00CD1FE5">
        <w:rPr>
          <w:bCs/>
          <w:i/>
        </w:rPr>
        <w:t>Метотрексат</w:t>
      </w:r>
      <w:proofErr w:type="spellEnd"/>
    </w:p>
    <w:p w14:paraId="5DDA19C0" w14:textId="3CEB146D" w:rsidR="00F5051D" w:rsidRPr="00F5051D" w:rsidRDefault="00F5051D" w:rsidP="00F5051D">
      <w:pPr>
        <w:jc w:val="both"/>
      </w:pPr>
      <w:r w:rsidRPr="00F5051D">
        <w:t xml:space="preserve">Согласно данным сообщений о клинических случаях, опубликованных фармакокинетических исследований и ретроспективных анализов можно предположить, что одновременный прием ИПП и </w:t>
      </w:r>
      <w:proofErr w:type="spellStart"/>
      <w:r w:rsidRPr="00F5051D">
        <w:t>метотрексата</w:t>
      </w:r>
      <w:proofErr w:type="spellEnd"/>
      <w:r w:rsidRPr="00F5051D">
        <w:t xml:space="preserve"> (прежде всего в высоких дозах) может привести к повышению концентрации </w:t>
      </w:r>
      <w:proofErr w:type="spellStart"/>
      <w:r w:rsidRPr="00F5051D">
        <w:t>метотрексата</w:t>
      </w:r>
      <w:proofErr w:type="spellEnd"/>
      <w:r w:rsidRPr="00F5051D">
        <w:t xml:space="preserve"> и/или его метаболита </w:t>
      </w:r>
      <w:proofErr w:type="spellStart"/>
      <w:r w:rsidRPr="00F5051D">
        <w:t>гидроксиметотрексата</w:t>
      </w:r>
      <w:proofErr w:type="spellEnd"/>
      <w:r w:rsidRPr="00F5051D">
        <w:t xml:space="preserve"> и увеличить период полувыведения. Тем не менее специальных исследований лекарственного взаимодействия </w:t>
      </w:r>
      <w:proofErr w:type="spellStart"/>
      <w:r w:rsidRPr="00F5051D">
        <w:t>метотрексата</w:t>
      </w:r>
      <w:proofErr w:type="spellEnd"/>
      <w:r w:rsidRPr="00F5051D">
        <w:t xml:space="preserve"> с ИПП не проводилось.</w:t>
      </w:r>
    </w:p>
    <w:p w14:paraId="131AC4C7" w14:textId="77777777" w:rsidR="00F5051D" w:rsidRPr="00F5051D" w:rsidRDefault="00F5051D" w:rsidP="00F5051D">
      <w:pPr>
        <w:jc w:val="both"/>
        <w:rPr>
          <w:i/>
          <w:iCs/>
        </w:rPr>
      </w:pPr>
      <w:proofErr w:type="spellStart"/>
      <w:r w:rsidRPr="00F5051D">
        <w:rPr>
          <w:i/>
        </w:rPr>
        <w:t>Клопидогрел</w:t>
      </w:r>
      <w:proofErr w:type="spellEnd"/>
    </w:p>
    <w:p w14:paraId="04FBBA99" w14:textId="77777777" w:rsidR="00F5051D" w:rsidRPr="00F5051D" w:rsidRDefault="00F5051D" w:rsidP="00F5051D">
      <w:pPr>
        <w:jc w:val="both"/>
      </w:pPr>
      <w:r w:rsidRPr="00F5051D">
        <w:t xml:space="preserve">Одновременное применение </w:t>
      </w:r>
      <w:proofErr w:type="spellStart"/>
      <w:r w:rsidRPr="00F5051D">
        <w:t>рабепразола</w:t>
      </w:r>
      <w:proofErr w:type="spellEnd"/>
      <w:r w:rsidRPr="00F5051D">
        <w:t xml:space="preserve"> и </w:t>
      </w:r>
      <w:proofErr w:type="spellStart"/>
      <w:r w:rsidRPr="00F5051D">
        <w:t>клопидогрела</w:t>
      </w:r>
      <w:proofErr w:type="spellEnd"/>
      <w:r w:rsidRPr="00F5051D">
        <w:t xml:space="preserve"> у здоровых добровольцев не оказывало клинически значимого влияния на экспозицию активного метаболита </w:t>
      </w:r>
      <w:proofErr w:type="spellStart"/>
      <w:r w:rsidRPr="00F5051D">
        <w:t>клопидогрела</w:t>
      </w:r>
      <w:proofErr w:type="spellEnd"/>
      <w:r w:rsidRPr="00F5051D">
        <w:t xml:space="preserve">. При одновременном применении с одобренной дозой </w:t>
      </w:r>
      <w:proofErr w:type="spellStart"/>
      <w:r w:rsidRPr="00F5051D">
        <w:t>рабепразола</w:t>
      </w:r>
      <w:proofErr w:type="spellEnd"/>
      <w:r w:rsidRPr="00F5051D">
        <w:t xml:space="preserve"> коррекция дозы </w:t>
      </w:r>
      <w:proofErr w:type="spellStart"/>
      <w:r w:rsidRPr="00F5051D">
        <w:t>клопидогрела</w:t>
      </w:r>
      <w:proofErr w:type="spellEnd"/>
      <w:r w:rsidRPr="00F5051D">
        <w:t xml:space="preserve"> не требуется.</w:t>
      </w:r>
    </w:p>
    <w:p w14:paraId="48322AD1" w14:textId="77777777" w:rsidR="00CD1FE5" w:rsidRPr="00CD1FE5" w:rsidRDefault="00CD1FE5" w:rsidP="00CD1FE5">
      <w:pPr>
        <w:jc w:val="both"/>
        <w:rPr>
          <w:i/>
        </w:rPr>
      </w:pPr>
      <w:r w:rsidRPr="00CD1FE5">
        <w:rPr>
          <w:i/>
        </w:rPr>
        <w:t>Влияние на результаты лабораторных исследований</w:t>
      </w:r>
    </w:p>
    <w:p w14:paraId="47A16659" w14:textId="77777777" w:rsidR="00CD1FE5" w:rsidRDefault="00CD1FE5" w:rsidP="00CD1FE5">
      <w:pPr>
        <w:jc w:val="both"/>
      </w:pPr>
      <w:r w:rsidRPr="00CD1FE5">
        <w:t xml:space="preserve">Применение ИПП приводит к снижению кислотности желудочного сока, что может привести к увеличению содержания </w:t>
      </w:r>
      <w:proofErr w:type="spellStart"/>
      <w:r w:rsidRPr="00CD1FE5">
        <w:t>хромогранина</w:t>
      </w:r>
      <w:proofErr w:type="spellEnd"/>
      <w:r w:rsidRPr="00CD1FE5">
        <w:t xml:space="preserve"> А (</w:t>
      </w:r>
      <w:proofErr w:type="spellStart"/>
      <w:r w:rsidRPr="00CD1FE5">
        <w:rPr>
          <w:lang w:val="en-US"/>
        </w:rPr>
        <w:t>CgA</w:t>
      </w:r>
      <w:proofErr w:type="spellEnd"/>
      <w:r w:rsidRPr="00CD1FE5">
        <w:t xml:space="preserve">) в сыворотке крови. Повышенный уровень </w:t>
      </w:r>
      <w:proofErr w:type="spellStart"/>
      <w:r w:rsidRPr="00CD1FE5">
        <w:rPr>
          <w:lang w:val="en-US"/>
        </w:rPr>
        <w:t>CgA</w:t>
      </w:r>
      <w:proofErr w:type="spellEnd"/>
      <w:r w:rsidRPr="00CD1FE5">
        <w:t xml:space="preserve"> может привести к ошибочной интерпретации результатов лабораторных исследований на наличие нейроэндокринной опухоли. Во избежание этого влияния применение </w:t>
      </w:r>
      <w:proofErr w:type="spellStart"/>
      <w:r w:rsidRPr="00CD1FE5">
        <w:t>Париета</w:t>
      </w:r>
      <w:proofErr w:type="spellEnd"/>
      <w:r w:rsidRPr="00CD1FE5">
        <w:rPr>
          <w:vertAlign w:val="superscript"/>
        </w:rPr>
        <w:t>®</w:t>
      </w:r>
      <w:r w:rsidRPr="00CD1FE5">
        <w:t xml:space="preserve"> должно быть временно прекращено, по крайней мере за 14 дней до оценки уровня </w:t>
      </w:r>
      <w:proofErr w:type="spellStart"/>
      <w:r w:rsidRPr="00CD1FE5">
        <w:rPr>
          <w:lang w:val="en-US"/>
        </w:rPr>
        <w:t>CgA</w:t>
      </w:r>
      <w:proofErr w:type="spellEnd"/>
      <w:r w:rsidRPr="00CD1FE5">
        <w:t xml:space="preserve">; повторение теста следует рассмотреть в случае, если исходный уровень </w:t>
      </w:r>
      <w:proofErr w:type="spellStart"/>
      <w:r w:rsidRPr="00CD1FE5">
        <w:rPr>
          <w:lang w:val="en-US"/>
        </w:rPr>
        <w:t>CgA</w:t>
      </w:r>
      <w:proofErr w:type="spellEnd"/>
      <w:r w:rsidRPr="00CD1FE5">
        <w:t xml:space="preserve"> является высоким.</w:t>
      </w:r>
    </w:p>
    <w:p w14:paraId="15E036AE" w14:textId="77777777" w:rsidR="00CD1FE5" w:rsidRDefault="00CD1FE5" w:rsidP="00CD1FE5">
      <w:pPr>
        <w:jc w:val="both"/>
      </w:pPr>
    </w:p>
    <w:p w14:paraId="559E7C96" w14:textId="77777777" w:rsidR="00CD1FE5" w:rsidRPr="00CD1FE5" w:rsidRDefault="00CD1FE5" w:rsidP="00CD1FE5">
      <w:pPr>
        <w:jc w:val="both"/>
        <w:rPr>
          <w:b/>
        </w:rPr>
      </w:pPr>
      <w:r w:rsidRPr="00CD1FE5">
        <w:rPr>
          <w:b/>
        </w:rPr>
        <w:t>Особые указания</w:t>
      </w:r>
    </w:p>
    <w:p w14:paraId="3C1E7C5B" w14:textId="77777777" w:rsidR="00CD1FE5" w:rsidRPr="00CD1FE5" w:rsidRDefault="00CD1FE5" w:rsidP="00CD1FE5">
      <w:pPr>
        <w:jc w:val="both"/>
      </w:pPr>
      <w:r w:rsidRPr="00CD1FE5">
        <w:t xml:space="preserve">Ответ пациента на терапию </w:t>
      </w:r>
      <w:proofErr w:type="spellStart"/>
      <w:r w:rsidRPr="00CD1FE5">
        <w:t>рабепразолом</w:t>
      </w:r>
      <w:proofErr w:type="spellEnd"/>
      <w:r w:rsidRPr="00CD1FE5">
        <w:t xml:space="preserve"> натрия не исключает наличия злокачественных новообразований в желудке.</w:t>
      </w:r>
    </w:p>
    <w:p w14:paraId="78957E2E" w14:textId="77777777" w:rsidR="00CD1FE5" w:rsidRDefault="00CD1FE5" w:rsidP="00CD1FE5">
      <w:pPr>
        <w:jc w:val="both"/>
      </w:pPr>
      <w:r w:rsidRPr="00CD1FE5">
        <w:t xml:space="preserve">Таблетки препарата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нельзя разжевывать или измельчать. Таблетки следует глотать целиком. Установлено, что ни время суток, ни прием пищи не влияют на активность </w:t>
      </w:r>
      <w:proofErr w:type="spellStart"/>
      <w:r w:rsidRPr="00CD1FE5">
        <w:t>рабепразола</w:t>
      </w:r>
      <w:proofErr w:type="spellEnd"/>
      <w:r w:rsidRPr="00CD1FE5">
        <w:t xml:space="preserve"> натрия.</w:t>
      </w:r>
    </w:p>
    <w:p w14:paraId="1A16A3B9" w14:textId="77777777" w:rsidR="00CD1FE5" w:rsidRPr="00CD1FE5" w:rsidRDefault="00CD1FE5" w:rsidP="00CD1FE5">
      <w:pPr>
        <w:jc w:val="both"/>
      </w:pPr>
      <w:r w:rsidRPr="00CD1FE5">
        <w:t xml:space="preserve">В специальном исследовании у пациентов с легкими или умеренными нарушениями функции печени не было обнаружено значимого отличия частоты побочных эффектов препарата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от таковой у подобранных по полу и возрасту здоровых лиц, но несмотря на это, рекомендуется соблюдать осторожность при первом назначении препарата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пациентам с тяжелыми нарушениями функции печени. AUC </w:t>
      </w:r>
      <w:proofErr w:type="spellStart"/>
      <w:r w:rsidRPr="00CD1FE5">
        <w:t>рабепразола</w:t>
      </w:r>
      <w:proofErr w:type="spellEnd"/>
      <w:r w:rsidRPr="00CD1FE5">
        <w:t xml:space="preserve"> натрия у пациентов с тяжелым нарушением функции печени примерно в два раза выше, чем у здоровых пациентов.</w:t>
      </w:r>
    </w:p>
    <w:p w14:paraId="7193B12B" w14:textId="77777777" w:rsidR="00CD1FE5" w:rsidRPr="00CD1FE5" w:rsidRDefault="00CD1FE5" w:rsidP="00CD1FE5">
      <w:pPr>
        <w:jc w:val="both"/>
      </w:pPr>
      <w:r w:rsidRPr="00CD1FE5">
        <w:t xml:space="preserve">Пациентам с нарушениями функции почек или печени корректировка дозы препарата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 xml:space="preserve">® </w:t>
      </w:r>
      <w:r w:rsidRPr="00CD1FE5">
        <w:t xml:space="preserve">не требуется. </w:t>
      </w:r>
    </w:p>
    <w:p w14:paraId="4A00AAF8" w14:textId="77777777" w:rsidR="00CD1FE5" w:rsidRPr="00CD1FE5" w:rsidRDefault="00CD1FE5" w:rsidP="00CD1FE5">
      <w:pPr>
        <w:jc w:val="both"/>
        <w:rPr>
          <w:b/>
          <w:bCs/>
          <w:i/>
        </w:rPr>
      </w:pPr>
      <w:proofErr w:type="spellStart"/>
      <w:r w:rsidRPr="00CD1FE5">
        <w:rPr>
          <w:b/>
          <w:bCs/>
          <w:i/>
        </w:rPr>
        <w:t>Гипомагниемия</w:t>
      </w:r>
      <w:proofErr w:type="spellEnd"/>
    </w:p>
    <w:p w14:paraId="16ABB8C0" w14:textId="5FDF019A" w:rsidR="00CD1FE5" w:rsidRPr="00CD1FE5" w:rsidRDefault="00F5051D" w:rsidP="00CD1FE5">
      <w:r w:rsidRPr="00F5051D">
        <w:lastRenderedPageBreak/>
        <w:t xml:space="preserve">При лечении ингибиторами протонной помпы на протяжении по крайней мере 3 месяцев в редких случаях были отмечены случаи клинически проявляющейся или бессимптомной </w:t>
      </w:r>
      <w:proofErr w:type="spellStart"/>
      <w:r w:rsidRPr="00F5051D">
        <w:t>гипомагниемии</w:t>
      </w:r>
      <w:proofErr w:type="spellEnd"/>
      <w:r w:rsidRPr="00F5051D">
        <w:t xml:space="preserve">. В большинстве случаев эти сообщения поступали после года терапии. </w:t>
      </w:r>
      <w:r w:rsidR="00CD1FE5" w:rsidRPr="00CD1FE5">
        <w:t xml:space="preserve">Серьезными побочными явлениями были тетания, аритмия и судороги. Большинству пациентов требовалось лечение </w:t>
      </w:r>
      <w:proofErr w:type="spellStart"/>
      <w:r w:rsidR="00CD1FE5" w:rsidRPr="00CD1FE5">
        <w:t>гипомагниемии</w:t>
      </w:r>
      <w:proofErr w:type="spellEnd"/>
      <w:r w:rsidR="00CD1FE5" w:rsidRPr="00CD1FE5">
        <w:t>, включающе</w:t>
      </w:r>
      <w:r w:rsidR="00DA244F">
        <w:t>е</w:t>
      </w:r>
      <w:r w:rsidR="00CD1FE5" w:rsidRPr="00CD1FE5">
        <w:t xml:space="preserve"> замещение магния и отмен</w:t>
      </w:r>
      <w:r w:rsidR="00DA244F">
        <w:t>у</w:t>
      </w:r>
      <w:r w:rsidR="00CD1FE5" w:rsidRPr="00CD1FE5">
        <w:t xml:space="preserve"> терапии ингибиторами протонной помпы. У пациентов, которые будут получать длительное лечение или которые принимают ингибиторы протонной помпы с препаратами, такими как </w:t>
      </w:r>
      <w:proofErr w:type="spellStart"/>
      <w:r w:rsidR="00CD1FE5" w:rsidRPr="00CD1FE5">
        <w:t>дигоксин</w:t>
      </w:r>
      <w:proofErr w:type="spellEnd"/>
      <w:r w:rsidR="00CD1FE5" w:rsidRPr="00CD1FE5">
        <w:t xml:space="preserve"> или препаратами, которые могут вызвать </w:t>
      </w:r>
      <w:proofErr w:type="spellStart"/>
      <w:r w:rsidR="00CD1FE5" w:rsidRPr="00CD1FE5">
        <w:t>гипомагниемию</w:t>
      </w:r>
      <w:proofErr w:type="spellEnd"/>
      <w:r w:rsidR="00CD1FE5" w:rsidRPr="00CD1FE5">
        <w:t xml:space="preserve"> (например, диуретики),</w:t>
      </w:r>
      <w:r w:rsidR="00CD1FE5">
        <w:t xml:space="preserve"> </w:t>
      </w:r>
      <w:r w:rsidR="00CD1FE5" w:rsidRPr="00CD1FE5">
        <w:t xml:space="preserve">медицинские работники должны контролировать концентрацию магния до начала лечения ингибиторами протонной помпы и </w:t>
      </w:r>
      <w:r w:rsidR="001B20CC">
        <w:t xml:space="preserve">периодически </w:t>
      </w:r>
      <w:r w:rsidR="001B20CC" w:rsidRPr="00AE078E">
        <w:t>в</w:t>
      </w:r>
      <w:r w:rsidR="001B20CC">
        <w:t>о</w:t>
      </w:r>
      <w:r w:rsidR="001B20CC" w:rsidRPr="00AE078E">
        <w:t xml:space="preserve"> </w:t>
      </w:r>
      <w:r w:rsidR="001B20CC">
        <w:t xml:space="preserve">время </w:t>
      </w:r>
      <w:r w:rsidR="001B20CC" w:rsidRPr="00AE078E">
        <w:t>лечения</w:t>
      </w:r>
      <w:r w:rsidR="00CD1FE5" w:rsidRPr="00CD1FE5">
        <w:t>.</w:t>
      </w:r>
    </w:p>
    <w:p w14:paraId="54DB4A42" w14:textId="77777777" w:rsidR="00CD1FE5" w:rsidRPr="00CD1FE5" w:rsidRDefault="00CD1FE5" w:rsidP="00CD1FE5">
      <w:pPr>
        <w:jc w:val="both"/>
      </w:pPr>
      <w:r w:rsidRPr="00CD1FE5">
        <w:t xml:space="preserve">Пациенты не должны принимать одновременно с препаратом </w:t>
      </w:r>
      <w:proofErr w:type="spellStart"/>
      <w:r w:rsidRPr="00CD1FE5">
        <w:t>Париет</w:t>
      </w:r>
      <w:proofErr w:type="spellEnd"/>
      <w:r w:rsidRPr="00CD1FE5">
        <w:rPr>
          <w:vertAlign w:val="superscript"/>
        </w:rPr>
        <w:t>®</w:t>
      </w:r>
      <w:r w:rsidRPr="00CD1FE5">
        <w:t xml:space="preserve"> другие средства, снижающие кислотность, например блокаторы Н</w:t>
      </w:r>
      <w:r w:rsidRPr="00CD1FE5">
        <w:rPr>
          <w:vertAlign w:val="subscript"/>
        </w:rPr>
        <w:t>2</w:t>
      </w:r>
      <w:r w:rsidRPr="00CD1FE5">
        <w:t xml:space="preserve">-рецепторов или ингибиторы протонной помпы. </w:t>
      </w:r>
    </w:p>
    <w:p w14:paraId="7BBC9BC4" w14:textId="77777777" w:rsidR="00CD1FE5" w:rsidRPr="00CD1FE5" w:rsidRDefault="00CD1FE5" w:rsidP="00CD1FE5">
      <w:pPr>
        <w:jc w:val="both"/>
        <w:rPr>
          <w:b/>
          <w:i/>
        </w:rPr>
      </w:pPr>
      <w:r w:rsidRPr="00CD1FE5">
        <w:rPr>
          <w:b/>
          <w:i/>
        </w:rPr>
        <w:t>Переломы костей</w:t>
      </w:r>
    </w:p>
    <w:p w14:paraId="0DB0AD96" w14:textId="77777777" w:rsidR="00CD1FE5" w:rsidRPr="00CD1FE5" w:rsidRDefault="00CD1FE5" w:rsidP="00CD1FE5">
      <w:pPr>
        <w:jc w:val="both"/>
      </w:pPr>
      <w:r w:rsidRPr="00CD1FE5">
        <w:t xml:space="preserve">Согласно данным наблюдательных исследований можно предположить, что терапия ингибиторами протонной помпы (ИПП) может привести к возрастанию риска связанных с остеопорозом переломов бедра, запястья или позвоночника. Риск переломов был увеличен у пациентов, получавших высокие дозы ИПП длительно (год и более). </w:t>
      </w:r>
    </w:p>
    <w:p w14:paraId="4DFFFEE0" w14:textId="77777777" w:rsidR="00CD1FE5" w:rsidRPr="00CD1FE5" w:rsidRDefault="00CD1FE5" w:rsidP="00CD1FE5">
      <w:pPr>
        <w:jc w:val="both"/>
        <w:rPr>
          <w:b/>
          <w:bCs/>
          <w:i/>
        </w:rPr>
      </w:pPr>
      <w:r w:rsidRPr="00CD1FE5">
        <w:rPr>
          <w:b/>
          <w:bCs/>
          <w:i/>
        </w:rPr>
        <w:t xml:space="preserve">Одновременное применение </w:t>
      </w:r>
      <w:proofErr w:type="spellStart"/>
      <w:r w:rsidRPr="00CD1FE5">
        <w:rPr>
          <w:b/>
          <w:bCs/>
          <w:i/>
        </w:rPr>
        <w:t>рабепразола</w:t>
      </w:r>
      <w:proofErr w:type="spellEnd"/>
      <w:r w:rsidRPr="00CD1FE5">
        <w:rPr>
          <w:b/>
          <w:bCs/>
          <w:i/>
        </w:rPr>
        <w:t xml:space="preserve"> с </w:t>
      </w:r>
      <w:proofErr w:type="spellStart"/>
      <w:r w:rsidRPr="00CD1FE5">
        <w:rPr>
          <w:b/>
          <w:bCs/>
          <w:i/>
        </w:rPr>
        <w:t>метотрексатом</w:t>
      </w:r>
      <w:proofErr w:type="spellEnd"/>
    </w:p>
    <w:p w14:paraId="70E1B7BB" w14:textId="094D5474" w:rsidR="00CD1FE5" w:rsidRPr="00CD1FE5" w:rsidRDefault="001B20CC" w:rsidP="00CD1FE5">
      <w:pPr>
        <w:jc w:val="both"/>
      </w:pPr>
      <w:r w:rsidRPr="00AE078E">
        <w:t xml:space="preserve">Согласно литературным данным, одновременный прием ИПП с </w:t>
      </w:r>
      <w:proofErr w:type="spellStart"/>
      <w:r w:rsidRPr="00AE078E">
        <w:t>метотрексатом</w:t>
      </w:r>
      <w:proofErr w:type="spellEnd"/>
      <w:r w:rsidRPr="00AE078E">
        <w:t xml:space="preserve"> (прежде всего в высоких дозах) может привести к повышению концентрации </w:t>
      </w:r>
      <w:proofErr w:type="spellStart"/>
      <w:r w:rsidRPr="00AE078E">
        <w:t>метотрексата</w:t>
      </w:r>
      <w:proofErr w:type="spellEnd"/>
      <w:r w:rsidRPr="00AE078E">
        <w:t xml:space="preserve"> и/или его метаболита </w:t>
      </w:r>
      <w:proofErr w:type="spellStart"/>
      <w:r w:rsidRPr="00AE078E">
        <w:t>гидроксиметотрексата</w:t>
      </w:r>
      <w:proofErr w:type="spellEnd"/>
      <w:r w:rsidRPr="00AE078E">
        <w:t xml:space="preserve"> </w:t>
      </w:r>
      <w:r>
        <w:t xml:space="preserve">в сыворотке </w:t>
      </w:r>
      <w:r w:rsidRPr="00AE078E">
        <w:t xml:space="preserve">и увеличить период полувыведения, что может привести к </w:t>
      </w:r>
      <w:r>
        <w:t xml:space="preserve">развитию </w:t>
      </w:r>
      <w:r w:rsidRPr="00AE078E">
        <w:t>токсич</w:t>
      </w:r>
      <w:r>
        <w:t xml:space="preserve">еских эффектов </w:t>
      </w:r>
      <w:proofErr w:type="spellStart"/>
      <w:r w:rsidRPr="00AE078E">
        <w:t>метотрексата</w:t>
      </w:r>
      <w:proofErr w:type="spellEnd"/>
      <w:r w:rsidRPr="00AE078E">
        <w:t xml:space="preserve">. </w:t>
      </w:r>
      <w:r w:rsidR="00CD1FE5" w:rsidRPr="00CD1FE5">
        <w:t xml:space="preserve">При необходимости применения высоких доз </w:t>
      </w:r>
      <w:proofErr w:type="spellStart"/>
      <w:r w:rsidR="00CD1FE5" w:rsidRPr="00CD1FE5">
        <w:t>метотрексата</w:t>
      </w:r>
      <w:proofErr w:type="spellEnd"/>
      <w:r w:rsidR="00CD1FE5" w:rsidRPr="00CD1FE5">
        <w:t xml:space="preserve"> может быть </w:t>
      </w:r>
      <w:bookmarkStart w:id="2" w:name="_Hlk515451114"/>
      <w:r w:rsidR="00CD1FE5" w:rsidRPr="00CD1FE5">
        <w:t>рассмотрена возможность временного прекращения терапии ИПП</w:t>
      </w:r>
      <w:bookmarkEnd w:id="2"/>
      <w:r w:rsidR="00CD1FE5" w:rsidRPr="00CD1FE5">
        <w:t>.</w:t>
      </w:r>
    </w:p>
    <w:p w14:paraId="1E527167" w14:textId="77777777" w:rsidR="00CD1FE5" w:rsidRPr="00CD1FE5" w:rsidRDefault="00CD1FE5" w:rsidP="00CD1FE5">
      <w:pPr>
        <w:jc w:val="both"/>
        <w:rPr>
          <w:b/>
          <w:i/>
        </w:rPr>
      </w:pPr>
      <w:proofErr w:type="spellStart"/>
      <w:r w:rsidRPr="00CD1FE5">
        <w:rPr>
          <w:b/>
          <w:i/>
        </w:rPr>
        <w:t>Clostridium</w:t>
      </w:r>
      <w:proofErr w:type="spellEnd"/>
      <w:r w:rsidRPr="00CD1FE5">
        <w:rPr>
          <w:b/>
          <w:i/>
        </w:rPr>
        <w:t xml:space="preserve"> </w:t>
      </w:r>
      <w:proofErr w:type="spellStart"/>
      <w:r w:rsidRPr="00CD1FE5">
        <w:rPr>
          <w:b/>
          <w:i/>
        </w:rPr>
        <w:t>difficile</w:t>
      </w:r>
      <w:proofErr w:type="spellEnd"/>
    </w:p>
    <w:p w14:paraId="5BD5489E" w14:textId="77777777" w:rsidR="00CD1FE5" w:rsidRPr="00CD1FE5" w:rsidRDefault="00CD1FE5" w:rsidP="00CD1FE5">
      <w:pPr>
        <w:jc w:val="both"/>
      </w:pPr>
      <w:r w:rsidRPr="00CD1FE5">
        <w:t>Терапия ИПП может приводить к возрастанию риска желудочно-кишечных инфекций, таких</w:t>
      </w:r>
      <w:r>
        <w:t xml:space="preserve"> </w:t>
      </w:r>
      <w:r w:rsidRPr="00CD1FE5">
        <w:t xml:space="preserve">как </w:t>
      </w:r>
      <w:proofErr w:type="spellStart"/>
      <w:r w:rsidRPr="00DA244F">
        <w:rPr>
          <w:i/>
        </w:rPr>
        <w:t>Clostridium</w:t>
      </w:r>
      <w:proofErr w:type="spellEnd"/>
      <w:r w:rsidRPr="00DA244F">
        <w:rPr>
          <w:i/>
        </w:rPr>
        <w:t xml:space="preserve"> </w:t>
      </w:r>
      <w:proofErr w:type="spellStart"/>
      <w:r w:rsidRPr="00DA244F">
        <w:rPr>
          <w:i/>
        </w:rPr>
        <w:t>difficile</w:t>
      </w:r>
      <w:proofErr w:type="spellEnd"/>
      <w:r w:rsidRPr="00CD1FE5">
        <w:t>.</w:t>
      </w:r>
    </w:p>
    <w:p w14:paraId="204FCB30" w14:textId="77777777" w:rsidR="00CD1FE5" w:rsidRPr="00CD1FE5" w:rsidRDefault="00CD1FE5" w:rsidP="00CD1FE5">
      <w:pPr>
        <w:jc w:val="both"/>
        <w:rPr>
          <w:b/>
          <w:i/>
        </w:rPr>
      </w:pPr>
      <w:bookmarkStart w:id="3" w:name="_Hlk515457697"/>
      <w:r w:rsidRPr="00CD1FE5">
        <w:rPr>
          <w:b/>
          <w:i/>
        </w:rPr>
        <w:t>Подострая кожная красная волчанка (ПККВ)</w:t>
      </w:r>
    </w:p>
    <w:bookmarkEnd w:id="3"/>
    <w:p w14:paraId="3032B898" w14:textId="203C23D6" w:rsidR="001B20CC" w:rsidRPr="001B20CC" w:rsidRDefault="001B20CC" w:rsidP="001B20CC">
      <w:pPr>
        <w:jc w:val="both"/>
      </w:pPr>
      <w:r w:rsidRPr="001B20CC">
        <w:t xml:space="preserve">Имеются сообщения о случаях ПККВ при терапии ИПП. В случае развития кожных изменений, особенно на участках кожи, подвергшихся воздействию прямых солнечных лучей, которые сопровождаются артралгией, пациенту необходимо немедленно обратиться за медицинской помощью, медицинскому работнику следует рассмотреть необходимость отмены </w:t>
      </w:r>
      <w:proofErr w:type="spellStart"/>
      <w:r w:rsidRPr="001B20CC">
        <w:t>рабепразола</w:t>
      </w:r>
      <w:proofErr w:type="spellEnd"/>
      <w:r w:rsidRPr="001B20CC">
        <w:t>. Возникновение ПККВ при предыдущей терапии ИПП может увеличить риск возникновения ПККВ при приеме других ИПП.</w:t>
      </w:r>
    </w:p>
    <w:p w14:paraId="24E075FD" w14:textId="77777777" w:rsidR="00CD1FE5" w:rsidRPr="00CD1FE5" w:rsidRDefault="00CD1FE5" w:rsidP="00CD1FE5">
      <w:pPr>
        <w:jc w:val="both"/>
        <w:rPr>
          <w:b/>
          <w:i/>
        </w:rPr>
      </w:pPr>
      <w:r w:rsidRPr="00CD1FE5">
        <w:rPr>
          <w:b/>
          <w:i/>
        </w:rPr>
        <w:t>Железистые полипы дна желудка</w:t>
      </w:r>
    </w:p>
    <w:p w14:paraId="521B2B6C" w14:textId="704F78FD" w:rsidR="00CD1FE5" w:rsidRPr="00264EA8" w:rsidRDefault="00CD1FE5" w:rsidP="00CD1FE5">
      <w:pPr>
        <w:jc w:val="both"/>
      </w:pPr>
      <w:r w:rsidRPr="00CD1FE5">
        <w:t xml:space="preserve">Длительное использование ИПП, включая </w:t>
      </w:r>
      <w:proofErr w:type="spellStart"/>
      <w:r w:rsidRPr="00CD1FE5">
        <w:t>рабепразол</w:t>
      </w:r>
      <w:proofErr w:type="spellEnd"/>
      <w:r w:rsidRPr="00CD1FE5">
        <w:t xml:space="preserve">, по всей видимости, связано с повышенным риском возникновения железистых полипов дна желудка. Большинство железистых полипов дна желудка бессимптомны. </w:t>
      </w:r>
      <w:r w:rsidR="001B20CC" w:rsidRPr="001B20CC">
        <w:t>У пациентов с крупными или изъязвленными полипами возможен риск желудочно-кишечных кровотечений или тонкокишечной непроходимости. По этой причине дозировка и продолжительность терапии ИПП должны быть минимальными.</w:t>
      </w:r>
    </w:p>
    <w:p w14:paraId="775DB722" w14:textId="77777777" w:rsidR="00211EBD" w:rsidRPr="00264EA8" w:rsidRDefault="00211EBD" w:rsidP="00F20491">
      <w:pPr>
        <w:jc w:val="both"/>
      </w:pPr>
    </w:p>
    <w:p w14:paraId="61477894" w14:textId="77777777" w:rsidR="00211EBD" w:rsidRPr="00264EA8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264EA8">
        <w:rPr>
          <w:rFonts w:ascii="Times New Roman" w:hAnsi="Times New Roman"/>
        </w:rPr>
        <w:t>Влияние на вождение автомобиля и работу с техникой</w:t>
      </w:r>
    </w:p>
    <w:p w14:paraId="0DE9AEE5" w14:textId="77777777" w:rsidR="00211EBD" w:rsidRPr="001F27FD" w:rsidRDefault="00211EBD" w:rsidP="00F20491">
      <w:pPr>
        <w:pStyle w:val="BodyText"/>
        <w:rPr>
          <w:rFonts w:ascii="Times New Roman" w:hAnsi="Times New Roman"/>
        </w:rPr>
      </w:pPr>
      <w:r w:rsidRPr="00264EA8">
        <w:rPr>
          <w:rFonts w:ascii="Times New Roman" w:hAnsi="Times New Roman"/>
        </w:rPr>
        <w:t xml:space="preserve">Исходя из особенностей </w:t>
      </w:r>
      <w:proofErr w:type="spellStart"/>
      <w:r w:rsidRPr="00264EA8">
        <w:rPr>
          <w:rFonts w:ascii="Times New Roman" w:hAnsi="Times New Roman"/>
        </w:rPr>
        <w:t>фармакодинамики</w:t>
      </w:r>
      <w:proofErr w:type="spellEnd"/>
      <w:r w:rsidRPr="00264EA8">
        <w:rPr>
          <w:rFonts w:ascii="Times New Roman" w:hAnsi="Times New Roman"/>
        </w:rPr>
        <w:t xml:space="preserve"> </w:t>
      </w:r>
      <w:proofErr w:type="spellStart"/>
      <w:r w:rsidRPr="00264EA8">
        <w:rPr>
          <w:rFonts w:ascii="Times New Roman" w:hAnsi="Times New Roman"/>
        </w:rPr>
        <w:t>рабепразола</w:t>
      </w:r>
      <w:proofErr w:type="spellEnd"/>
      <w:r w:rsidRPr="00264EA8">
        <w:rPr>
          <w:rFonts w:ascii="Times New Roman" w:hAnsi="Times New Roman"/>
        </w:rPr>
        <w:t xml:space="preserve"> и его профиля нежелательных эффектов, маловероятно, что </w:t>
      </w:r>
      <w:proofErr w:type="spellStart"/>
      <w:r w:rsidRPr="00264EA8">
        <w:rPr>
          <w:rFonts w:ascii="Times New Roman" w:hAnsi="Times New Roman"/>
        </w:rPr>
        <w:t>Париет</w:t>
      </w:r>
      <w:proofErr w:type="spellEnd"/>
      <w:r w:rsidRPr="00347947">
        <w:rPr>
          <w:rFonts w:ascii="Times New Roman" w:hAnsi="Times New Roman"/>
          <w:vertAlign w:val="superscript"/>
        </w:rPr>
        <w:t>®</w:t>
      </w:r>
      <w:r w:rsidRPr="00264EA8">
        <w:rPr>
          <w:rFonts w:ascii="Times New Roman" w:hAnsi="Times New Roman"/>
        </w:rPr>
        <w:t xml:space="preserve"> оказывает влияние на способность водить автомобиль и работать с техникой. Однако в случае появления сонливости следует избегать этих видов деятельности. </w:t>
      </w:r>
    </w:p>
    <w:p w14:paraId="58E73499" w14:textId="77777777" w:rsidR="00476C4A" w:rsidRPr="001F27FD" w:rsidRDefault="00476C4A" w:rsidP="00F20491">
      <w:pPr>
        <w:pStyle w:val="BodyText"/>
        <w:rPr>
          <w:rFonts w:ascii="Times New Roman" w:hAnsi="Times New Roman"/>
        </w:rPr>
      </w:pPr>
    </w:p>
    <w:p w14:paraId="38D9AE45" w14:textId="77777777" w:rsidR="00211EBD" w:rsidRPr="00FD5347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FD5347">
        <w:rPr>
          <w:rFonts w:ascii="Times New Roman" w:hAnsi="Times New Roman"/>
        </w:rPr>
        <w:t>Форма выпуска</w:t>
      </w:r>
    </w:p>
    <w:p w14:paraId="11FF5AFF" w14:textId="2E2C822A" w:rsidR="00211EBD" w:rsidRPr="00136126" w:rsidRDefault="00211EBD" w:rsidP="00F20491">
      <w:r>
        <w:t>Т</w:t>
      </w:r>
      <w:r w:rsidRPr="00136126">
        <w:t>аблетки, покрытые кишечнорастворимой оболочкой</w:t>
      </w:r>
      <w:r w:rsidR="00A31C35">
        <w:rPr>
          <w:lang w:val="en-US"/>
        </w:rPr>
        <w:t>,</w:t>
      </w:r>
      <w:r>
        <w:t xml:space="preserve"> 20 мг</w:t>
      </w:r>
      <w:r w:rsidRPr="00136126">
        <w:t>.</w:t>
      </w:r>
    </w:p>
    <w:p w14:paraId="0C529885" w14:textId="77777777" w:rsidR="00211EBD" w:rsidRPr="001F27FD" w:rsidRDefault="00211EBD" w:rsidP="00F20491">
      <w:r w:rsidRPr="00136126">
        <w:t>По 7 или 14 таблеток в блистер</w:t>
      </w:r>
      <w:r w:rsidR="00D3483E">
        <w:t>е</w:t>
      </w:r>
      <w:r w:rsidRPr="00136126">
        <w:t xml:space="preserve"> из 2-х слоев алюминия. По 1 или 2 блистера вместе с инструкцией по медицинскому применению в картонн</w:t>
      </w:r>
      <w:r w:rsidR="00D3483E">
        <w:t>ой</w:t>
      </w:r>
      <w:r w:rsidRPr="00136126">
        <w:t xml:space="preserve"> пачк</w:t>
      </w:r>
      <w:r w:rsidR="00D3483E">
        <w:t>е</w:t>
      </w:r>
      <w:r w:rsidRPr="00136126">
        <w:t>.</w:t>
      </w:r>
      <w:r w:rsidR="00D3483E">
        <w:t xml:space="preserve"> На картонных пачках может быть предусмотрен контроль вскрытия.</w:t>
      </w:r>
    </w:p>
    <w:p w14:paraId="57B1DC6A" w14:textId="77777777" w:rsidR="00476C4A" w:rsidRPr="001F27FD" w:rsidRDefault="00476C4A" w:rsidP="00F20491"/>
    <w:p w14:paraId="5D61ADE4" w14:textId="77777777" w:rsidR="00211EBD" w:rsidRPr="00264EA8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264EA8">
        <w:rPr>
          <w:rFonts w:ascii="Times New Roman" w:hAnsi="Times New Roman"/>
        </w:rPr>
        <w:t>Условия хранения</w:t>
      </w:r>
    </w:p>
    <w:p w14:paraId="0758E670" w14:textId="77777777" w:rsidR="00211EBD" w:rsidRDefault="00211EBD" w:rsidP="00F20491">
      <w:pPr>
        <w:pStyle w:val="BodyText"/>
        <w:rPr>
          <w:rFonts w:ascii="Times New Roman" w:hAnsi="Times New Roman"/>
        </w:rPr>
      </w:pPr>
      <w:r w:rsidRPr="00264EA8">
        <w:rPr>
          <w:rFonts w:ascii="Times New Roman" w:hAnsi="Times New Roman"/>
        </w:rPr>
        <w:t>При температуре не выше 25</w:t>
      </w:r>
      <w:r w:rsidR="00DA244F">
        <w:rPr>
          <w:rFonts w:ascii="Times New Roman" w:hAnsi="Times New Roman"/>
        </w:rPr>
        <w:t xml:space="preserve"> </w:t>
      </w:r>
      <w:r w:rsidRPr="00264EA8">
        <w:rPr>
          <w:rFonts w:ascii="Times New Roman" w:hAnsi="Times New Roman"/>
        </w:rPr>
        <w:t>°С в недоступном для детей месте. Не замораживать.</w:t>
      </w:r>
    </w:p>
    <w:p w14:paraId="788D0BA9" w14:textId="77777777" w:rsidR="00211EBD" w:rsidRPr="00264EA8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264EA8">
        <w:rPr>
          <w:rFonts w:ascii="Times New Roman" w:hAnsi="Times New Roman"/>
        </w:rPr>
        <w:t>Срок годности</w:t>
      </w:r>
    </w:p>
    <w:p w14:paraId="56053C58" w14:textId="77777777" w:rsidR="00211EBD" w:rsidRPr="00264EA8" w:rsidRDefault="00211EBD" w:rsidP="00F20491">
      <w:pPr>
        <w:jc w:val="both"/>
      </w:pPr>
      <w:r w:rsidRPr="00264EA8">
        <w:t>2 года.</w:t>
      </w:r>
    </w:p>
    <w:p w14:paraId="21E8CFD1" w14:textId="77777777" w:rsidR="00211EBD" w:rsidRPr="001F27FD" w:rsidRDefault="00211EBD" w:rsidP="00F20491">
      <w:pPr>
        <w:jc w:val="both"/>
      </w:pPr>
      <w:r w:rsidRPr="00264EA8">
        <w:t>Не применять после истечения срока годности.</w:t>
      </w:r>
    </w:p>
    <w:p w14:paraId="7B794237" w14:textId="77777777" w:rsidR="00476C4A" w:rsidRPr="001F27FD" w:rsidRDefault="00476C4A" w:rsidP="00F20491">
      <w:pPr>
        <w:jc w:val="both"/>
      </w:pPr>
    </w:p>
    <w:p w14:paraId="75EE2825" w14:textId="77777777" w:rsidR="00211EBD" w:rsidRPr="00FD5347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FD5347">
        <w:rPr>
          <w:rFonts w:ascii="Times New Roman" w:hAnsi="Times New Roman"/>
        </w:rPr>
        <w:t>Условия отпуска из аптек</w:t>
      </w:r>
    </w:p>
    <w:p w14:paraId="4C87107F" w14:textId="77777777" w:rsidR="00211EBD" w:rsidRPr="001F27FD" w:rsidRDefault="00211EBD" w:rsidP="00F20491">
      <w:pPr>
        <w:jc w:val="both"/>
      </w:pPr>
      <w:r w:rsidRPr="00264EA8">
        <w:t>По рецепту.</w:t>
      </w:r>
    </w:p>
    <w:p w14:paraId="7490B81E" w14:textId="77777777" w:rsidR="00476C4A" w:rsidRPr="001F27FD" w:rsidRDefault="00476C4A" w:rsidP="00F20491">
      <w:pPr>
        <w:jc w:val="both"/>
      </w:pPr>
    </w:p>
    <w:p w14:paraId="6EF44AE3" w14:textId="77777777" w:rsidR="00211EBD" w:rsidRPr="00FD5347" w:rsidRDefault="00211EBD" w:rsidP="00F20491">
      <w:pPr>
        <w:pStyle w:val="Heading2"/>
        <w:spacing w:before="80"/>
        <w:rPr>
          <w:rFonts w:ascii="Times New Roman" w:hAnsi="Times New Roman"/>
        </w:rPr>
      </w:pPr>
      <w:r w:rsidRPr="00FD5347">
        <w:rPr>
          <w:rFonts w:ascii="Times New Roman" w:hAnsi="Times New Roman"/>
        </w:rPr>
        <w:t>Держатель регистрационного удостоверения и организация, принимающая претензии:</w:t>
      </w:r>
    </w:p>
    <w:p w14:paraId="2CE9C733" w14:textId="77777777" w:rsidR="00211EBD" w:rsidRPr="00264EA8" w:rsidRDefault="00211EBD" w:rsidP="00F20491">
      <w:pPr>
        <w:jc w:val="both"/>
      </w:pPr>
      <w:r w:rsidRPr="00264EA8">
        <w:t xml:space="preserve">ООО «Джонсон &amp; Джонсон», Россия, 121614, </w:t>
      </w:r>
      <w:r w:rsidR="00D3483E">
        <w:t xml:space="preserve">г. </w:t>
      </w:r>
      <w:r w:rsidRPr="00264EA8">
        <w:t xml:space="preserve">Москва, ул. Крылатская, </w:t>
      </w:r>
      <w:r w:rsidR="00D3483E">
        <w:t xml:space="preserve">д. </w:t>
      </w:r>
      <w:r w:rsidRPr="00264EA8">
        <w:t>17</w:t>
      </w:r>
      <w:r w:rsidR="00D3483E">
        <w:t xml:space="preserve">, корп. </w:t>
      </w:r>
      <w:r w:rsidRPr="00264EA8">
        <w:t>2</w:t>
      </w:r>
    </w:p>
    <w:p w14:paraId="1F8BB630" w14:textId="77777777" w:rsidR="00211EBD" w:rsidRPr="00264EA8" w:rsidRDefault="00211EBD" w:rsidP="00F20491">
      <w:pPr>
        <w:jc w:val="both"/>
      </w:pPr>
      <w:r w:rsidRPr="00264EA8">
        <w:t xml:space="preserve">Тел.: (495) 755-83-57 </w:t>
      </w:r>
    </w:p>
    <w:p w14:paraId="4DD90DED" w14:textId="77777777" w:rsidR="00211EBD" w:rsidRPr="001F27FD" w:rsidRDefault="00211EBD" w:rsidP="00F20491">
      <w:pPr>
        <w:jc w:val="both"/>
      </w:pPr>
      <w:r w:rsidRPr="00264EA8">
        <w:t>Факс: (495) 755-83-58</w:t>
      </w:r>
    </w:p>
    <w:p w14:paraId="1AF829AC" w14:textId="77777777" w:rsidR="00476C4A" w:rsidRPr="001F27FD" w:rsidRDefault="00476C4A" w:rsidP="00F20491">
      <w:pPr>
        <w:jc w:val="both"/>
      </w:pPr>
    </w:p>
    <w:p w14:paraId="3D636687" w14:textId="77777777" w:rsidR="00F20491" w:rsidRPr="00646AB9" w:rsidRDefault="00F20491" w:rsidP="00F20491">
      <w:pPr>
        <w:spacing w:before="120" w:line="360" w:lineRule="auto"/>
        <w:jc w:val="both"/>
        <w:rPr>
          <w:b/>
        </w:rPr>
      </w:pPr>
      <w:r>
        <w:rPr>
          <w:b/>
          <w:bCs/>
        </w:rPr>
        <w:t>Производитель</w:t>
      </w:r>
    </w:p>
    <w:p w14:paraId="296127FB" w14:textId="77777777" w:rsidR="00D3483E" w:rsidRDefault="00F20491" w:rsidP="00F20491">
      <w:pPr>
        <w:spacing w:line="360" w:lineRule="auto"/>
        <w:jc w:val="both"/>
      </w:pPr>
      <w:r w:rsidRPr="00F20491">
        <w:t xml:space="preserve">Бушу </w:t>
      </w:r>
      <w:proofErr w:type="spellStart"/>
      <w:r w:rsidRPr="00F20491">
        <w:t>Фармасьютикалз</w:t>
      </w:r>
      <w:proofErr w:type="spellEnd"/>
      <w:r w:rsidRPr="00F20491">
        <w:t xml:space="preserve"> Лтд. </w:t>
      </w:r>
      <w:proofErr w:type="spellStart"/>
      <w:r w:rsidRPr="00F20491">
        <w:t>Мисато</w:t>
      </w:r>
      <w:proofErr w:type="spellEnd"/>
      <w:r w:rsidRPr="00F20491">
        <w:t xml:space="preserve"> </w:t>
      </w:r>
      <w:proofErr w:type="spellStart"/>
      <w:r w:rsidRPr="00F20491">
        <w:t>фэктори</w:t>
      </w:r>
      <w:proofErr w:type="spellEnd"/>
    </w:p>
    <w:p w14:paraId="0F4780FC" w14:textId="77777777" w:rsidR="00F20491" w:rsidRPr="00F20491" w:rsidRDefault="00F20491" w:rsidP="00F20491">
      <w:pPr>
        <w:spacing w:line="360" w:lineRule="auto"/>
        <w:jc w:val="both"/>
      </w:pPr>
      <w:r w:rsidRPr="00F20491">
        <w:t xml:space="preserve">950, </w:t>
      </w:r>
      <w:proofErr w:type="spellStart"/>
      <w:r w:rsidRPr="00F20491">
        <w:t>Хироки</w:t>
      </w:r>
      <w:proofErr w:type="spellEnd"/>
      <w:r w:rsidRPr="00F20491">
        <w:t xml:space="preserve">, </w:t>
      </w:r>
      <w:proofErr w:type="spellStart"/>
      <w:r w:rsidRPr="00F20491">
        <w:t>Охадза</w:t>
      </w:r>
      <w:proofErr w:type="spellEnd"/>
      <w:r w:rsidRPr="00F20491">
        <w:t xml:space="preserve">, </w:t>
      </w:r>
      <w:proofErr w:type="spellStart"/>
      <w:r w:rsidRPr="00F20491">
        <w:t>Мисато-мати</w:t>
      </w:r>
      <w:proofErr w:type="spellEnd"/>
      <w:r w:rsidRPr="00F20491">
        <w:t xml:space="preserve">, </w:t>
      </w:r>
      <w:proofErr w:type="spellStart"/>
      <w:r w:rsidRPr="00F20491">
        <w:t>К</w:t>
      </w:r>
      <w:r>
        <w:t>одама-гун</w:t>
      </w:r>
      <w:proofErr w:type="spellEnd"/>
      <w:r>
        <w:t xml:space="preserve">, </w:t>
      </w:r>
      <w:proofErr w:type="spellStart"/>
      <w:r>
        <w:t>Саитама-кэн</w:t>
      </w:r>
      <w:proofErr w:type="spellEnd"/>
      <w:r>
        <w:t>, Япония.</w:t>
      </w:r>
    </w:p>
    <w:p w14:paraId="452BEAE2" w14:textId="77777777" w:rsidR="00F20491" w:rsidRPr="00646AB9" w:rsidRDefault="00F20491" w:rsidP="00F20491">
      <w:pPr>
        <w:spacing w:line="360" w:lineRule="auto"/>
        <w:jc w:val="both"/>
        <w:rPr>
          <w:b/>
        </w:rPr>
      </w:pPr>
      <w:r w:rsidRPr="00F20491">
        <w:rPr>
          <w:b/>
          <w:bCs/>
        </w:rPr>
        <w:t>Упаковка</w:t>
      </w:r>
      <w:r>
        <w:rPr>
          <w:b/>
          <w:bCs/>
        </w:rPr>
        <w:t>, выпускающий контроль качества</w:t>
      </w:r>
    </w:p>
    <w:p w14:paraId="40DEC7CD" w14:textId="77777777" w:rsidR="00D3483E" w:rsidRDefault="00F20491" w:rsidP="00F20491">
      <w:pPr>
        <w:pStyle w:val="a0"/>
        <w:spacing w:line="240" w:lineRule="auto"/>
        <w:rPr>
          <w:sz w:val="24"/>
          <w:szCs w:val="24"/>
        </w:rPr>
      </w:pPr>
      <w:proofErr w:type="spellStart"/>
      <w:r w:rsidRPr="00F20491">
        <w:rPr>
          <w:sz w:val="24"/>
          <w:szCs w:val="24"/>
        </w:rPr>
        <w:t>С</w:t>
      </w:r>
      <w:r w:rsidR="00D3483E">
        <w:rPr>
          <w:sz w:val="24"/>
          <w:szCs w:val="24"/>
        </w:rPr>
        <w:t>илаг</w:t>
      </w:r>
      <w:proofErr w:type="spellEnd"/>
      <w:r w:rsidRPr="00F20491">
        <w:rPr>
          <w:sz w:val="24"/>
          <w:szCs w:val="24"/>
        </w:rPr>
        <w:t xml:space="preserve"> АГ</w:t>
      </w:r>
    </w:p>
    <w:p w14:paraId="3DA3EC4C" w14:textId="4F1386F2" w:rsidR="00F20491" w:rsidRDefault="00D3483E" w:rsidP="00F20491">
      <w:pPr>
        <w:pStyle w:val="a0"/>
        <w:spacing w:line="240" w:lineRule="auto"/>
        <w:rPr>
          <w:sz w:val="24"/>
          <w:szCs w:val="24"/>
        </w:rPr>
      </w:pPr>
      <w:proofErr w:type="spellStart"/>
      <w:r w:rsidRPr="00F20491">
        <w:rPr>
          <w:sz w:val="24"/>
          <w:szCs w:val="24"/>
        </w:rPr>
        <w:t>Хохштрассе</w:t>
      </w:r>
      <w:proofErr w:type="spellEnd"/>
      <w:r>
        <w:rPr>
          <w:sz w:val="24"/>
          <w:szCs w:val="24"/>
        </w:rPr>
        <w:t xml:space="preserve"> 201, 8200 </w:t>
      </w:r>
      <w:proofErr w:type="spellStart"/>
      <w:r w:rsidRPr="00F20491">
        <w:rPr>
          <w:sz w:val="24"/>
          <w:szCs w:val="24"/>
        </w:rPr>
        <w:t>Шаффхаузен</w:t>
      </w:r>
      <w:proofErr w:type="spellEnd"/>
      <w:r w:rsidR="00F20491" w:rsidRPr="00F20491">
        <w:rPr>
          <w:sz w:val="24"/>
          <w:szCs w:val="24"/>
        </w:rPr>
        <w:t xml:space="preserve">, </w:t>
      </w:r>
      <w:r w:rsidRPr="00F20491">
        <w:rPr>
          <w:sz w:val="24"/>
          <w:szCs w:val="24"/>
        </w:rPr>
        <w:t>Швейцария</w:t>
      </w:r>
    </w:p>
    <w:p w14:paraId="3B2CD4D2" w14:textId="0E17FF82" w:rsidR="00BF5F3D" w:rsidRPr="00BF5F3D" w:rsidRDefault="00BF5F3D" w:rsidP="00D6143A">
      <w:r>
        <w:t>или</w:t>
      </w:r>
    </w:p>
    <w:p w14:paraId="555E477B" w14:textId="77777777" w:rsidR="00F65200" w:rsidRDefault="00F65200" w:rsidP="00F65200">
      <w:proofErr w:type="spellStart"/>
      <w:r>
        <w:t>Лузомедикамента</w:t>
      </w:r>
      <w:proofErr w:type="spellEnd"/>
      <w:r>
        <w:t xml:space="preserve"> </w:t>
      </w:r>
      <w:proofErr w:type="spellStart"/>
      <w:r>
        <w:t>Сосьедаде</w:t>
      </w:r>
      <w:proofErr w:type="spellEnd"/>
      <w:r>
        <w:t xml:space="preserve"> </w:t>
      </w:r>
      <w:proofErr w:type="spellStart"/>
      <w:r>
        <w:t>Текника</w:t>
      </w:r>
      <w:proofErr w:type="spellEnd"/>
      <w:r>
        <w:t xml:space="preserve"> </w:t>
      </w:r>
      <w:proofErr w:type="spellStart"/>
      <w:r>
        <w:t>Фармасеутика</w:t>
      </w:r>
      <w:proofErr w:type="spellEnd"/>
      <w:r>
        <w:t>, С.А.</w:t>
      </w:r>
    </w:p>
    <w:p w14:paraId="2BEA2DA5" w14:textId="1CE92AAE" w:rsidR="00F65200" w:rsidRPr="00F65200" w:rsidRDefault="00F65200" w:rsidP="00646AB9">
      <w:proofErr w:type="spellStart"/>
      <w:r>
        <w:t>Эштрада</w:t>
      </w:r>
      <w:proofErr w:type="spellEnd"/>
      <w:r>
        <w:t xml:space="preserve"> </w:t>
      </w:r>
      <w:proofErr w:type="spellStart"/>
      <w:r>
        <w:t>Консильери</w:t>
      </w:r>
      <w:proofErr w:type="spellEnd"/>
      <w:r>
        <w:t xml:space="preserve"> </w:t>
      </w:r>
      <w:proofErr w:type="spellStart"/>
      <w:r>
        <w:t>Педрозу</w:t>
      </w:r>
      <w:proofErr w:type="spellEnd"/>
      <w:r>
        <w:t xml:space="preserve">, № 66, 69-Б, </w:t>
      </w:r>
      <w:proofErr w:type="spellStart"/>
      <w:r>
        <w:t>Келуш</w:t>
      </w:r>
      <w:proofErr w:type="spellEnd"/>
      <w:r>
        <w:t>-де-</w:t>
      </w:r>
      <w:proofErr w:type="spellStart"/>
      <w:r>
        <w:t>Байшу</w:t>
      </w:r>
      <w:proofErr w:type="spellEnd"/>
      <w:r>
        <w:t xml:space="preserve">, 2730-055 </w:t>
      </w:r>
      <w:proofErr w:type="spellStart"/>
      <w:r>
        <w:t>Баркарена</w:t>
      </w:r>
      <w:proofErr w:type="spellEnd"/>
      <w:r>
        <w:t>, Португалия</w:t>
      </w:r>
    </w:p>
    <w:sectPr w:rsidR="00F65200" w:rsidRPr="00F65200" w:rsidSect="00646AB9">
      <w:footerReference w:type="default" r:id="rId7"/>
      <w:pgSz w:w="12240" w:h="15840"/>
      <w:pgMar w:top="851" w:right="907" w:bottom="568" w:left="1021" w:header="720" w:footer="3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2587" w14:textId="77777777" w:rsidR="0022509A" w:rsidRDefault="0022509A" w:rsidP="00EF5FB9">
      <w:r>
        <w:separator/>
      </w:r>
    </w:p>
  </w:endnote>
  <w:endnote w:type="continuationSeparator" w:id="0">
    <w:p w14:paraId="7B956FC6" w14:textId="77777777" w:rsidR="0022509A" w:rsidRDefault="0022509A" w:rsidP="00EF5FB9">
      <w:r>
        <w:continuationSeparator/>
      </w:r>
    </w:p>
  </w:endnote>
  <w:endnote w:type="continuationNotice" w:id="1">
    <w:p w14:paraId="7B532DD1" w14:textId="77777777" w:rsidR="0022509A" w:rsidRDefault="00225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3942517"/>
      <w:docPartObj>
        <w:docPartGallery w:val="Page Numbers (Bottom of Page)"/>
        <w:docPartUnique/>
      </w:docPartObj>
    </w:sdtPr>
    <w:sdtEndPr/>
    <w:sdtContent>
      <w:p w14:paraId="10ED6319" w14:textId="1F6C35DE" w:rsidR="00672D74" w:rsidRPr="00B44F96" w:rsidRDefault="00672D74" w:rsidP="00646AB9">
        <w:pPr>
          <w:pStyle w:val="Style10"/>
          <w:widowControl/>
          <w:jc w:val="both"/>
          <w:rPr>
            <w:rFonts w:ascii="Times New Roman" w:hAnsi="Times New Roman" w:cs="Times New Roman"/>
            <w:sz w:val="20"/>
            <w:szCs w:val="20"/>
          </w:rPr>
        </w:pPr>
      </w:p>
      <w:p w14:paraId="7DFF6D60" w14:textId="1F52986B" w:rsidR="00403ABC" w:rsidRDefault="000A4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66D3" w14:textId="77777777" w:rsidR="0022509A" w:rsidRDefault="0022509A" w:rsidP="00EF5FB9">
      <w:r>
        <w:separator/>
      </w:r>
    </w:p>
  </w:footnote>
  <w:footnote w:type="continuationSeparator" w:id="0">
    <w:p w14:paraId="1EC5FCEC" w14:textId="77777777" w:rsidR="0022509A" w:rsidRDefault="0022509A" w:rsidP="00EF5FB9">
      <w:r>
        <w:continuationSeparator/>
      </w:r>
    </w:p>
  </w:footnote>
  <w:footnote w:type="continuationNotice" w:id="1">
    <w:p w14:paraId="77E04328" w14:textId="77777777" w:rsidR="0022509A" w:rsidRDefault="00225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8D5"/>
    <w:multiLevelType w:val="hybridMultilevel"/>
    <w:tmpl w:val="CA42E648"/>
    <w:lvl w:ilvl="0" w:tplc="D47674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7B8"/>
    <w:multiLevelType w:val="hybridMultilevel"/>
    <w:tmpl w:val="BCDA7780"/>
    <w:lvl w:ilvl="0" w:tplc="D47674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90E"/>
    <w:multiLevelType w:val="hybridMultilevel"/>
    <w:tmpl w:val="E514F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DBC"/>
    <w:multiLevelType w:val="hybridMultilevel"/>
    <w:tmpl w:val="F8A4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350C0"/>
    <w:multiLevelType w:val="hybridMultilevel"/>
    <w:tmpl w:val="F91C33C8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6A8"/>
    <w:multiLevelType w:val="hybridMultilevel"/>
    <w:tmpl w:val="DC008D46"/>
    <w:lvl w:ilvl="0" w:tplc="D47674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6A0"/>
    <w:multiLevelType w:val="hybridMultilevel"/>
    <w:tmpl w:val="777A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D5843"/>
    <w:multiLevelType w:val="hybridMultilevel"/>
    <w:tmpl w:val="854082C6"/>
    <w:lvl w:ilvl="0" w:tplc="D47674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86402"/>
    <w:multiLevelType w:val="hybridMultilevel"/>
    <w:tmpl w:val="D60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09981">
    <w:abstractNumId w:val="6"/>
  </w:num>
  <w:num w:numId="2" w16cid:durableId="4331537">
    <w:abstractNumId w:val="0"/>
  </w:num>
  <w:num w:numId="3" w16cid:durableId="1096563323">
    <w:abstractNumId w:val="3"/>
  </w:num>
  <w:num w:numId="4" w16cid:durableId="178351066">
    <w:abstractNumId w:val="7"/>
  </w:num>
  <w:num w:numId="5" w16cid:durableId="1643190553">
    <w:abstractNumId w:val="5"/>
  </w:num>
  <w:num w:numId="6" w16cid:durableId="430125248">
    <w:abstractNumId w:val="1"/>
  </w:num>
  <w:num w:numId="7" w16cid:durableId="939682607">
    <w:abstractNumId w:val="2"/>
  </w:num>
  <w:num w:numId="8" w16cid:durableId="1612083329">
    <w:abstractNumId w:val="4"/>
  </w:num>
  <w:num w:numId="9" w16cid:durableId="1855076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4"/>
    <w:rsid w:val="0000465F"/>
    <w:rsid w:val="0002105B"/>
    <w:rsid w:val="000A252B"/>
    <w:rsid w:val="000A37EF"/>
    <w:rsid w:val="000A459E"/>
    <w:rsid w:val="000B2A41"/>
    <w:rsid w:val="000B7F48"/>
    <w:rsid w:val="000D2CC9"/>
    <w:rsid w:val="000E4601"/>
    <w:rsid w:val="000F260E"/>
    <w:rsid w:val="00115134"/>
    <w:rsid w:val="00156E8D"/>
    <w:rsid w:val="00175280"/>
    <w:rsid w:val="001906CF"/>
    <w:rsid w:val="001B20CC"/>
    <w:rsid w:val="001F27FD"/>
    <w:rsid w:val="00211EBD"/>
    <w:rsid w:val="0022509A"/>
    <w:rsid w:val="00234D8A"/>
    <w:rsid w:val="0028719A"/>
    <w:rsid w:val="002C6A1C"/>
    <w:rsid w:val="002F2A3C"/>
    <w:rsid w:val="00325669"/>
    <w:rsid w:val="003476D4"/>
    <w:rsid w:val="00347947"/>
    <w:rsid w:val="00354ADA"/>
    <w:rsid w:val="00360DC2"/>
    <w:rsid w:val="0037727F"/>
    <w:rsid w:val="003844F5"/>
    <w:rsid w:val="003A67DB"/>
    <w:rsid w:val="003B4D6D"/>
    <w:rsid w:val="003C5DDA"/>
    <w:rsid w:val="00400368"/>
    <w:rsid w:val="00403ABC"/>
    <w:rsid w:val="00404678"/>
    <w:rsid w:val="00476C4A"/>
    <w:rsid w:val="00483A72"/>
    <w:rsid w:val="004B7EEF"/>
    <w:rsid w:val="004F4A57"/>
    <w:rsid w:val="005039A1"/>
    <w:rsid w:val="005222DD"/>
    <w:rsid w:val="00550D1F"/>
    <w:rsid w:val="00577300"/>
    <w:rsid w:val="00581990"/>
    <w:rsid w:val="005D6ADA"/>
    <w:rsid w:val="005F289A"/>
    <w:rsid w:val="005F4FD6"/>
    <w:rsid w:val="006027B3"/>
    <w:rsid w:val="00625416"/>
    <w:rsid w:val="006303EA"/>
    <w:rsid w:val="0063797D"/>
    <w:rsid w:val="00644668"/>
    <w:rsid w:val="00646AB9"/>
    <w:rsid w:val="00650F8A"/>
    <w:rsid w:val="006547FA"/>
    <w:rsid w:val="00672D74"/>
    <w:rsid w:val="006C680C"/>
    <w:rsid w:val="00704911"/>
    <w:rsid w:val="00750123"/>
    <w:rsid w:val="007532A7"/>
    <w:rsid w:val="00784922"/>
    <w:rsid w:val="007F7C8B"/>
    <w:rsid w:val="00814F64"/>
    <w:rsid w:val="0084351A"/>
    <w:rsid w:val="00850F4F"/>
    <w:rsid w:val="0085276A"/>
    <w:rsid w:val="0085708A"/>
    <w:rsid w:val="00863ADA"/>
    <w:rsid w:val="008978E9"/>
    <w:rsid w:val="008C41ED"/>
    <w:rsid w:val="008F7F44"/>
    <w:rsid w:val="00903F3A"/>
    <w:rsid w:val="009104AB"/>
    <w:rsid w:val="00910F1A"/>
    <w:rsid w:val="00912FA7"/>
    <w:rsid w:val="00934272"/>
    <w:rsid w:val="00951E1A"/>
    <w:rsid w:val="00982DFA"/>
    <w:rsid w:val="009949F9"/>
    <w:rsid w:val="009A5A57"/>
    <w:rsid w:val="009B2C74"/>
    <w:rsid w:val="009E3437"/>
    <w:rsid w:val="009F4CED"/>
    <w:rsid w:val="009F60EC"/>
    <w:rsid w:val="00A07702"/>
    <w:rsid w:val="00A31C35"/>
    <w:rsid w:val="00A339D9"/>
    <w:rsid w:val="00A33FE1"/>
    <w:rsid w:val="00A3535B"/>
    <w:rsid w:val="00A52ED3"/>
    <w:rsid w:val="00A657D8"/>
    <w:rsid w:val="00A72289"/>
    <w:rsid w:val="00AF688A"/>
    <w:rsid w:val="00B11DD5"/>
    <w:rsid w:val="00B143D7"/>
    <w:rsid w:val="00B41541"/>
    <w:rsid w:val="00B46568"/>
    <w:rsid w:val="00B53154"/>
    <w:rsid w:val="00B60373"/>
    <w:rsid w:val="00B66883"/>
    <w:rsid w:val="00B73A56"/>
    <w:rsid w:val="00B741CA"/>
    <w:rsid w:val="00B916A9"/>
    <w:rsid w:val="00B95667"/>
    <w:rsid w:val="00BA6DA8"/>
    <w:rsid w:val="00BF5F3D"/>
    <w:rsid w:val="00C13819"/>
    <w:rsid w:val="00C13DAB"/>
    <w:rsid w:val="00C41708"/>
    <w:rsid w:val="00C85356"/>
    <w:rsid w:val="00CC1121"/>
    <w:rsid w:val="00CC3EBE"/>
    <w:rsid w:val="00CD1FE5"/>
    <w:rsid w:val="00CD36EE"/>
    <w:rsid w:val="00CE7D11"/>
    <w:rsid w:val="00CF098C"/>
    <w:rsid w:val="00D125C1"/>
    <w:rsid w:val="00D210FF"/>
    <w:rsid w:val="00D24C41"/>
    <w:rsid w:val="00D27752"/>
    <w:rsid w:val="00D3483E"/>
    <w:rsid w:val="00D423D1"/>
    <w:rsid w:val="00D6143A"/>
    <w:rsid w:val="00D64EFC"/>
    <w:rsid w:val="00D67E35"/>
    <w:rsid w:val="00D73EBB"/>
    <w:rsid w:val="00D75BFA"/>
    <w:rsid w:val="00DA244F"/>
    <w:rsid w:val="00DB205C"/>
    <w:rsid w:val="00DD3995"/>
    <w:rsid w:val="00DD4CCB"/>
    <w:rsid w:val="00DE3F9F"/>
    <w:rsid w:val="00DE7F7B"/>
    <w:rsid w:val="00E3692C"/>
    <w:rsid w:val="00E41A3E"/>
    <w:rsid w:val="00E44B56"/>
    <w:rsid w:val="00E65D14"/>
    <w:rsid w:val="00E947BC"/>
    <w:rsid w:val="00EA6A97"/>
    <w:rsid w:val="00EB1830"/>
    <w:rsid w:val="00EC37BF"/>
    <w:rsid w:val="00EE4A29"/>
    <w:rsid w:val="00EF0D8A"/>
    <w:rsid w:val="00EF31F3"/>
    <w:rsid w:val="00EF5FB9"/>
    <w:rsid w:val="00F11A45"/>
    <w:rsid w:val="00F148DC"/>
    <w:rsid w:val="00F15541"/>
    <w:rsid w:val="00F20491"/>
    <w:rsid w:val="00F23555"/>
    <w:rsid w:val="00F5051D"/>
    <w:rsid w:val="00F56042"/>
    <w:rsid w:val="00F65200"/>
    <w:rsid w:val="00F97924"/>
    <w:rsid w:val="00FB0658"/>
    <w:rsid w:val="00FB0690"/>
    <w:rsid w:val="00FB7DB0"/>
    <w:rsid w:val="00FD5347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1D016A"/>
  <w15:docId w15:val="{38C9B5E3-5C5A-4AA3-AE77-CFE97D9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1C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A67DB"/>
    <w:pPr>
      <w:keepNext/>
      <w:jc w:val="both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A67DB"/>
    <w:pPr>
      <w:keepNext/>
      <w:tabs>
        <w:tab w:val="left" w:pos="540"/>
      </w:tabs>
      <w:spacing w:before="120"/>
      <w:ind w:left="547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A67DB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A67DB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5FB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B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F5F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B9"/>
    <w:rPr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rsid w:val="009F60E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A67DB"/>
    <w:rPr>
      <w:rFonts w:ascii="Arial" w:hAnsi="Arial"/>
      <w:b/>
      <w:sz w:val="24"/>
      <w:lang w:val="ru-RU"/>
    </w:rPr>
  </w:style>
  <w:style w:type="character" w:customStyle="1" w:styleId="Heading3Char">
    <w:name w:val="Heading 3 Char"/>
    <w:basedOn w:val="DefaultParagraphFont"/>
    <w:link w:val="Heading3"/>
    <w:rsid w:val="003A67DB"/>
    <w:rPr>
      <w:rFonts w:ascii="Arial" w:hAnsi="Arial"/>
      <w:b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3A67DB"/>
    <w:rPr>
      <w:rFonts w:ascii="Arial" w:hAnsi="Arial"/>
      <w:b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3A67DB"/>
    <w:rPr>
      <w:rFonts w:ascii="Arial" w:hAnsi="Arial"/>
      <w:b/>
      <w:sz w:val="24"/>
      <w:lang w:val="ru-RU"/>
    </w:rPr>
  </w:style>
  <w:style w:type="paragraph" w:styleId="BodyText">
    <w:name w:val="Body Text"/>
    <w:basedOn w:val="Normal"/>
    <w:link w:val="BodyTextChar"/>
    <w:rsid w:val="003A67DB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67DB"/>
    <w:rPr>
      <w:rFonts w:ascii="Arial" w:hAnsi="Arial"/>
      <w:sz w:val="24"/>
      <w:lang w:val="ru-RU"/>
    </w:rPr>
  </w:style>
  <w:style w:type="paragraph" w:customStyle="1" w:styleId="a">
    <w:name w:val="Спецификация"/>
    <w:basedOn w:val="Normal"/>
    <w:rsid w:val="003A67DB"/>
    <w:pPr>
      <w:widowControl w:val="0"/>
      <w:tabs>
        <w:tab w:val="left" w:pos="709"/>
      </w:tabs>
      <w:jc w:val="both"/>
    </w:pPr>
  </w:style>
  <w:style w:type="character" w:styleId="Emphasis">
    <w:name w:val="Emphasis"/>
    <w:basedOn w:val="DefaultParagraphFont"/>
    <w:qFormat/>
    <w:rsid w:val="003A67DB"/>
    <w:rPr>
      <w:i/>
      <w:iCs/>
    </w:rPr>
  </w:style>
  <w:style w:type="paragraph" w:customStyle="1" w:styleId="a0">
    <w:name w:val="Название препарата"/>
    <w:basedOn w:val="Normal"/>
    <w:next w:val="Normal"/>
    <w:rsid w:val="003A67DB"/>
    <w:pPr>
      <w:widowControl w:val="0"/>
      <w:tabs>
        <w:tab w:val="left" w:pos="709"/>
      </w:tabs>
      <w:spacing w:line="480" w:lineRule="auto"/>
      <w:jc w:val="both"/>
    </w:pPr>
    <w:rPr>
      <w:sz w:val="28"/>
      <w:szCs w:val="28"/>
    </w:rPr>
  </w:style>
  <w:style w:type="paragraph" w:styleId="NoSpacing">
    <w:name w:val="No Spacing"/>
    <w:uiPriority w:val="1"/>
    <w:qFormat/>
    <w:rsid w:val="00A07702"/>
    <w:pPr>
      <w:ind w:firstLine="720"/>
      <w:jc w:val="both"/>
    </w:pPr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23555"/>
    <w:pPr>
      <w:ind w:left="720"/>
      <w:contextualSpacing/>
    </w:pPr>
  </w:style>
  <w:style w:type="character" w:styleId="EndnoteReference">
    <w:name w:val="endnote reference"/>
    <w:rsid w:val="00750123"/>
    <w:rPr>
      <w:sz w:val="21"/>
      <w:vertAlign w:val="superscript"/>
    </w:rPr>
  </w:style>
  <w:style w:type="paragraph" w:customStyle="1" w:styleId="SOPHeading3">
    <w:name w:val="SOP Heading 3"/>
    <w:basedOn w:val="Normal"/>
    <w:rsid w:val="0075012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MS Mincho"/>
      <w:b/>
      <w:i/>
      <w:sz w:val="22"/>
      <w:szCs w:val="20"/>
      <w:lang w:val="en-US" w:eastAsia="ja-JP"/>
    </w:rPr>
  </w:style>
  <w:style w:type="paragraph" w:styleId="BalloonText">
    <w:name w:val="Balloon Text"/>
    <w:basedOn w:val="Normal"/>
    <w:link w:val="BalloonTextChar"/>
    <w:rsid w:val="00EE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A29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qFormat/>
    <w:rsid w:val="007532A7"/>
    <w:rPr>
      <w:b/>
      <w:bCs/>
    </w:rPr>
  </w:style>
  <w:style w:type="paragraph" w:customStyle="1" w:styleId="Style10">
    <w:name w:val="Style10"/>
    <w:basedOn w:val="Normal"/>
    <w:uiPriority w:val="99"/>
    <w:rsid w:val="00672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efaultParagraphFont"/>
    <w:uiPriority w:val="99"/>
    <w:rsid w:val="00672D74"/>
    <w:rPr>
      <w:rFonts w:ascii="Arial Unicode MS" w:eastAsia="Arial Unicode MS" w:hAnsi="Arial Unicode MS" w:cs="Arial Unicode MS" w:hint="eastAsia"/>
      <w:sz w:val="10"/>
      <w:szCs w:val="10"/>
    </w:rPr>
  </w:style>
  <w:style w:type="paragraph" w:customStyle="1" w:styleId="Standard">
    <w:name w:val="Standard"/>
    <w:rsid w:val="005222DD"/>
    <w:pPr>
      <w:suppressAutoHyphens/>
      <w:autoSpaceDN w:val="0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5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1D"/>
    <w:rPr>
      <w:lang w:val="ru-RU" w:eastAsia="ru-RU"/>
    </w:rPr>
  </w:style>
  <w:style w:type="paragraph" w:styleId="Revision">
    <w:name w:val="Revision"/>
    <w:hidden/>
    <w:uiPriority w:val="99"/>
    <w:semiHidden/>
    <w:rsid w:val="00FB069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4734478F88C46BEF6D12D66F880E1" ma:contentTypeVersion="5" ma:contentTypeDescription="Create a new document." ma:contentTypeScope="" ma:versionID="c6c8dff1d6de5b4c1f1934516baaf912">
  <xsd:schema xmlns:xsd="http://www.w3.org/2001/XMLSchema" xmlns:xs="http://www.w3.org/2001/XMLSchema" xmlns:p="http://schemas.microsoft.com/office/2006/metadata/properties" xmlns:ns2="f7fb57f2-eaf0-4be2-b104-24f69bdd1b11" xmlns:ns3="ee21dec0-75c0-4895-b78f-1789a485d209" targetNamespace="http://schemas.microsoft.com/office/2006/metadata/properties" ma:root="true" ma:fieldsID="7c03d0a29e5c49d0dbce0b5633f3077d" ns2:_="" ns3:_="">
    <xsd:import namespace="f7fb57f2-eaf0-4be2-b104-24f69bdd1b11"/>
    <xsd:import namespace="ee21dec0-75c0-4895-b78f-1789a485d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57f2-eaf0-4be2-b104-24f69bdd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1dec0-75c0-4895-b78f-1789a485d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F05C4-383C-41CA-AAE5-E59F64601EB5}"/>
</file>

<file path=customXml/itemProps2.xml><?xml version="1.0" encoding="utf-8"?>
<ds:datastoreItem xmlns:ds="http://schemas.openxmlformats.org/officeDocument/2006/customXml" ds:itemID="{A9BD9402-33A3-4F4E-B0F5-4640E41DC8AD}"/>
</file>

<file path=customXml/itemProps3.xml><?xml version="1.0" encoding="utf-8"?>
<ds:datastoreItem xmlns:ds="http://schemas.openxmlformats.org/officeDocument/2006/customXml" ds:itemID="{FD8C7441-0D1C-44CC-8849-5CE88ABC6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3279</Words>
  <Characters>22681</Characters>
  <Application>Microsoft Office Word</Application>
  <DocSecurity>0</DocSecurity>
  <Lines>189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Ayvazova, Maria [JANRU]</cp:lastModifiedBy>
  <cp:revision>2</cp:revision>
  <cp:lastPrinted>2022-12-21T08:40:00Z</cp:lastPrinted>
  <dcterms:created xsi:type="dcterms:W3CDTF">2023-11-21T08:54:00Z</dcterms:created>
  <dcterms:modified xsi:type="dcterms:W3CDTF">2023-11-21T08:54:00Z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0x0101002284734478F88C46BEF6D12D66F880E1</vt:lpwstr>
  </property>
</Properties>
</file>