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80B2" w14:textId="1CD2461F" w:rsidR="00AA194F" w:rsidRPr="00B51352" w:rsidRDefault="00AA194F" w:rsidP="00AA194F">
      <w:pPr>
        <w:rPr>
          <w:rFonts w:ascii="Arial" w:eastAsiaTheme="majorEastAsia" w:hAnsi="Arial" w:cs="Arial"/>
          <w:color w:val="000000" w:themeColor="text1"/>
          <w:sz w:val="32"/>
          <w:szCs w:val="32"/>
        </w:rPr>
      </w:pPr>
      <w:r w:rsidRPr="00B51352">
        <w:rPr>
          <w:rFonts w:ascii="Arial" w:eastAsiaTheme="majorEastAsia" w:hAnsi="Arial" w:cs="Arial"/>
          <w:color w:val="000000" w:themeColor="text1"/>
          <w:sz w:val="32"/>
          <w:szCs w:val="32"/>
        </w:rPr>
        <w:t>Janssen UK: Collaboration Agreements – Last updated January 2023</w:t>
      </w:r>
    </w:p>
    <w:p w14:paraId="73E85C8E" w14:textId="77777777" w:rsidR="00B51352" w:rsidRDefault="00B51352" w:rsidP="00AA194F">
      <w:pPr>
        <w:rPr>
          <w:rFonts w:ascii="Arial" w:hAnsi="Arial" w:cs="Arial"/>
          <w:b/>
          <w:bCs/>
          <w:u w:val="single"/>
        </w:rPr>
      </w:pPr>
    </w:p>
    <w:p w14:paraId="69BD0D18" w14:textId="57A1C3FB" w:rsidR="00AA194F" w:rsidRPr="00B51352" w:rsidRDefault="00AA194F" w:rsidP="00AA194F">
      <w:pPr>
        <w:rPr>
          <w:rFonts w:ascii="Arial" w:eastAsiaTheme="majorEastAsia" w:hAnsi="Arial" w:cs="Arial"/>
          <w:color w:val="000000" w:themeColor="text1"/>
          <w:sz w:val="32"/>
          <w:szCs w:val="32"/>
          <w:u w:val="single"/>
        </w:rPr>
      </w:pPr>
      <w:r w:rsidRPr="00B51352">
        <w:rPr>
          <w:rFonts w:ascii="Arial" w:eastAsiaTheme="majorEastAsia" w:hAnsi="Arial" w:cs="Arial"/>
          <w:color w:val="000000" w:themeColor="text1"/>
          <w:sz w:val="32"/>
          <w:szCs w:val="32"/>
          <w:u w:val="single"/>
        </w:rPr>
        <w:t>Project: ATTC Bridging – CAR-T Patient Referrals Pathway Gap Analysis</w:t>
      </w:r>
    </w:p>
    <w:p w14:paraId="14AC4928" w14:textId="77777777" w:rsidR="00AA194F" w:rsidRPr="00A26F37" w:rsidRDefault="00AA194F" w:rsidP="00AA194F">
      <w:pPr>
        <w:spacing w:before="120" w:after="120" w:line="240" w:lineRule="auto"/>
        <w:rPr>
          <w:rFonts w:ascii="Arial" w:hAnsi="Arial" w:cs="Arial"/>
        </w:rPr>
      </w:pPr>
    </w:p>
    <w:p w14:paraId="307F4B8A" w14:textId="77777777" w:rsidR="00AA194F" w:rsidRPr="00A26F37" w:rsidRDefault="00AA194F" w:rsidP="00AA194F">
      <w:pPr>
        <w:pStyle w:val="Heading1"/>
        <w:rPr>
          <w:rFonts w:ascii="Arial" w:hAnsi="Arial" w:cs="Arial"/>
        </w:rPr>
      </w:pPr>
      <w:bookmarkStart w:id="0" w:name="_Toc120006874"/>
      <w:r w:rsidRPr="00A26F37">
        <w:rPr>
          <w:rFonts w:ascii="Arial" w:hAnsi="Arial" w:cs="Arial"/>
        </w:rPr>
        <w:t>1.0</w:t>
      </w:r>
      <w:r w:rsidRPr="00A26F37">
        <w:rPr>
          <w:rFonts w:ascii="Arial" w:hAnsi="Arial" w:cs="Arial"/>
        </w:rPr>
        <w:tab/>
        <w:t>Organisations Involved</w:t>
      </w:r>
      <w:bookmarkEnd w:id="0"/>
    </w:p>
    <w:p w14:paraId="1E81B5F7" w14:textId="77777777" w:rsidR="00AA194F" w:rsidRDefault="00AA194F" w:rsidP="00AA194F">
      <w:pPr>
        <w:pStyle w:val="ListParagraph"/>
        <w:numPr>
          <w:ilvl w:val="0"/>
          <w:numId w:val="1"/>
        </w:numPr>
        <w:rPr>
          <w:rFonts w:ascii="Arial" w:eastAsiaTheme="majorEastAsia" w:hAnsi="Arial" w:cs="Arial"/>
          <w:color w:val="000000" w:themeColor="text1"/>
        </w:rPr>
      </w:pPr>
      <w:proofErr w:type="spellStart"/>
      <w:r w:rsidRPr="00A26F37">
        <w:rPr>
          <w:rFonts w:ascii="Arial" w:eastAsiaTheme="majorEastAsia" w:hAnsi="Arial" w:cs="Arial"/>
          <w:color w:val="000000" w:themeColor="text1"/>
        </w:rPr>
        <w:t>Autolus</w:t>
      </w:r>
      <w:proofErr w:type="spellEnd"/>
      <w:r w:rsidRPr="00A26F37">
        <w:rPr>
          <w:rFonts w:ascii="Arial" w:eastAsiaTheme="majorEastAsia" w:hAnsi="Arial" w:cs="Arial"/>
          <w:color w:val="000000" w:themeColor="text1"/>
        </w:rPr>
        <w:t xml:space="preserve"> Limited</w:t>
      </w:r>
    </w:p>
    <w:p w14:paraId="712E8D7C" w14:textId="77777777" w:rsidR="00AA194F" w:rsidRPr="00A26F37" w:rsidRDefault="00AA194F" w:rsidP="00AA194F">
      <w:pPr>
        <w:pStyle w:val="ListParagraph"/>
        <w:numPr>
          <w:ilvl w:val="0"/>
          <w:numId w:val="1"/>
        </w:numPr>
        <w:rPr>
          <w:rFonts w:ascii="Arial" w:eastAsiaTheme="majorEastAsia" w:hAnsi="Arial" w:cs="Arial"/>
          <w:color w:val="000000" w:themeColor="text1"/>
        </w:rPr>
      </w:pPr>
      <w:r>
        <w:rPr>
          <w:rFonts w:ascii="Arial" w:eastAsiaTheme="majorEastAsia" w:hAnsi="Arial" w:cs="Arial"/>
          <w:color w:val="000000" w:themeColor="text1"/>
        </w:rPr>
        <w:t>Cell and Gene Therapy Catapult</w:t>
      </w:r>
    </w:p>
    <w:p w14:paraId="21F6B633" w14:textId="77777777" w:rsidR="00AA194F" w:rsidRPr="00A26F37" w:rsidRDefault="00AA194F" w:rsidP="00AA194F">
      <w:pPr>
        <w:pStyle w:val="ListParagraph"/>
        <w:numPr>
          <w:ilvl w:val="0"/>
          <w:numId w:val="1"/>
        </w:numPr>
        <w:rPr>
          <w:rFonts w:ascii="Arial" w:eastAsiaTheme="majorEastAsia" w:hAnsi="Arial" w:cs="Arial"/>
          <w:color w:val="000000" w:themeColor="text1"/>
        </w:rPr>
      </w:pPr>
      <w:r w:rsidRPr="00A26F37">
        <w:rPr>
          <w:rFonts w:ascii="Arial" w:eastAsiaTheme="majorEastAsia" w:hAnsi="Arial" w:cs="Arial"/>
          <w:color w:val="000000" w:themeColor="text1"/>
        </w:rPr>
        <w:t xml:space="preserve">Gilead </w:t>
      </w:r>
      <w:r>
        <w:rPr>
          <w:rFonts w:ascii="Arial" w:eastAsiaTheme="majorEastAsia" w:hAnsi="Arial" w:cs="Arial"/>
          <w:color w:val="000000" w:themeColor="text1"/>
        </w:rPr>
        <w:t>Sciences Limited</w:t>
      </w:r>
    </w:p>
    <w:p w14:paraId="10B88897" w14:textId="77777777" w:rsidR="00AA194F" w:rsidRPr="00A26F37" w:rsidRDefault="00AA194F" w:rsidP="00AA194F">
      <w:pPr>
        <w:pStyle w:val="ListParagraph"/>
        <w:numPr>
          <w:ilvl w:val="0"/>
          <w:numId w:val="1"/>
        </w:numPr>
        <w:rPr>
          <w:rFonts w:ascii="Arial" w:eastAsiaTheme="majorEastAsia" w:hAnsi="Arial" w:cs="Arial"/>
          <w:color w:val="000000" w:themeColor="text1"/>
        </w:rPr>
      </w:pPr>
      <w:r w:rsidRPr="00A26F37">
        <w:rPr>
          <w:rFonts w:ascii="Arial" w:eastAsiaTheme="majorEastAsia" w:hAnsi="Arial" w:cs="Arial"/>
          <w:color w:val="000000" w:themeColor="text1"/>
        </w:rPr>
        <w:t xml:space="preserve">Janssen </w:t>
      </w:r>
      <w:proofErr w:type="spellStart"/>
      <w:r w:rsidRPr="00A26F37">
        <w:rPr>
          <w:rFonts w:ascii="Arial" w:eastAsiaTheme="majorEastAsia" w:hAnsi="Arial" w:cs="Arial"/>
          <w:color w:val="000000" w:themeColor="text1"/>
        </w:rPr>
        <w:t>Cilag</w:t>
      </w:r>
      <w:proofErr w:type="spellEnd"/>
      <w:r>
        <w:rPr>
          <w:rFonts w:ascii="Arial" w:eastAsiaTheme="majorEastAsia" w:hAnsi="Arial" w:cs="Arial"/>
          <w:color w:val="000000" w:themeColor="text1"/>
        </w:rPr>
        <w:t xml:space="preserve"> Limited</w:t>
      </w:r>
    </w:p>
    <w:p w14:paraId="125CB5F7" w14:textId="77777777" w:rsidR="00AA194F" w:rsidRPr="00A26F37" w:rsidRDefault="00AA194F" w:rsidP="00AA194F">
      <w:pPr>
        <w:pStyle w:val="ListParagraph"/>
        <w:numPr>
          <w:ilvl w:val="0"/>
          <w:numId w:val="1"/>
        </w:numPr>
        <w:rPr>
          <w:rFonts w:ascii="Arial" w:eastAsiaTheme="majorEastAsia" w:hAnsi="Arial" w:cs="Arial"/>
          <w:color w:val="000000" w:themeColor="text1"/>
        </w:rPr>
      </w:pPr>
      <w:r w:rsidRPr="00A26F37">
        <w:rPr>
          <w:rFonts w:ascii="Arial" w:eastAsiaTheme="majorEastAsia" w:hAnsi="Arial" w:cs="Arial"/>
          <w:color w:val="000000" w:themeColor="text1"/>
        </w:rPr>
        <w:t>NHS Blood and Transplant</w:t>
      </w:r>
    </w:p>
    <w:p w14:paraId="09BD858C" w14:textId="77777777" w:rsidR="00AA194F" w:rsidRDefault="00AA194F" w:rsidP="00AA194F">
      <w:pPr>
        <w:pStyle w:val="ListParagraph"/>
        <w:numPr>
          <w:ilvl w:val="0"/>
          <w:numId w:val="1"/>
        </w:numPr>
        <w:rPr>
          <w:rFonts w:ascii="Arial" w:eastAsiaTheme="majorEastAsia" w:hAnsi="Arial" w:cs="Arial"/>
          <w:color w:val="000000" w:themeColor="text1"/>
        </w:rPr>
      </w:pPr>
      <w:r w:rsidRPr="00A26F37">
        <w:rPr>
          <w:rFonts w:ascii="Arial" w:eastAsiaTheme="majorEastAsia" w:hAnsi="Arial" w:cs="Arial"/>
          <w:color w:val="000000" w:themeColor="text1"/>
        </w:rPr>
        <w:t>The Christie NHS Foundation Trust</w:t>
      </w:r>
    </w:p>
    <w:p w14:paraId="46B903E8" w14:textId="77777777" w:rsidR="00AA194F" w:rsidRPr="00A26F37" w:rsidRDefault="00AA194F" w:rsidP="00AA194F">
      <w:pPr>
        <w:pStyle w:val="Heading1"/>
        <w:rPr>
          <w:rFonts w:ascii="Arial" w:hAnsi="Arial" w:cs="Arial"/>
        </w:rPr>
      </w:pPr>
      <w:bookmarkStart w:id="1" w:name="_Toc120006875"/>
      <w:r w:rsidRPr="00A26F37">
        <w:rPr>
          <w:rFonts w:ascii="Arial" w:hAnsi="Arial" w:cs="Arial"/>
        </w:rPr>
        <w:t>2.0</w:t>
      </w:r>
      <w:r w:rsidRPr="00A26F37">
        <w:rPr>
          <w:rFonts w:ascii="Arial" w:hAnsi="Arial" w:cs="Arial"/>
        </w:rPr>
        <w:tab/>
        <w:t>Project Overview</w:t>
      </w:r>
      <w:bookmarkEnd w:id="1"/>
    </w:p>
    <w:p w14:paraId="42D7B006" w14:textId="77777777" w:rsidR="00AA194F" w:rsidRPr="00A26F37" w:rsidRDefault="00AA194F" w:rsidP="00AA194F">
      <w:pPr>
        <w:rPr>
          <w:rFonts w:ascii="Arial" w:hAnsi="Arial" w:cs="Arial"/>
        </w:rPr>
      </w:pPr>
      <w:r w:rsidRPr="00A26F37">
        <w:rPr>
          <w:rFonts w:ascii="Arial" w:hAnsi="Arial" w:cs="Arial"/>
        </w:rPr>
        <w:t>Currently, demand for CAR-T referrals is relatively low</w:t>
      </w:r>
      <w:r>
        <w:rPr>
          <w:rFonts w:ascii="Arial" w:hAnsi="Arial" w:cs="Arial"/>
        </w:rPr>
        <w:t xml:space="preserve"> within the NHS</w:t>
      </w:r>
      <w:r w:rsidRPr="00A26F37">
        <w:rPr>
          <w:rFonts w:ascii="Arial" w:hAnsi="Arial" w:cs="Arial"/>
        </w:rPr>
        <w:t xml:space="preserve"> and relies on national structures such as </w:t>
      </w:r>
      <w:r>
        <w:rPr>
          <w:rFonts w:ascii="Arial" w:hAnsi="Arial" w:cs="Arial"/>
        </w:rPr>
        <w:t>the</w:t>
      </w:r>
      <w:r w:rsidRPr="00A26F37">
        <w:rPr>
          <w:rFonts w:ascii="Arial" w:hAnsi="Arial" w:cs="Arial"/>
        </w:rPr>
        <w:t xml:space="preserve"> National CAR-T Clinical Panel (NCCP) or regional clinical trial networks to identify patients </w:t>
      </w:r>
      <w:r>
        <w:rPr>
          <w:rFonts w:ascii="Arial" w:hAnsi="Arial" w:cs="Arial"/>
        </w:rPr>
        <w:t>appropriate for</w:t>
      </w:r>
      <w:r w:rsidRPr="00A26F37">
        <w:rPr>
          <w:rFonts w:ascii="Arial" w:hAnsi="Arial" w:cs="Arial"/>
        </w:rPr>
        <w:t xml:space="preserve"> CAR-T treatments. As the spread and scale of CAR-T widens, </w:t>
      </w:r>
      <w:r>
        <w:rPr>
          <w:rFonts w:ascii="Arial" w:hAnsi="Arial" w:cs="Arial"/>
        </w:rPr>
        <w:t xml:space="preserve">and </w:t>
      </w:r>
      <w:r w:rsidRPr="00A26F37">
        <w:rPr>
          <w:rFonts w:ascii="Arial" w:hAnsi="Arial" w:cs="Arial"/>
        </w:rPr>
        <w:t>with the potential loss of the NCCP, effective processes for referring patients are needed to maintain patient access to standard of care CAR-T as well as investigational CAR-Ts.</w:t>
      </w:r>
    </w:p>
    <w:p w14:paraId="6788C0BA" w14:textId="3F6F3F0A" w:rsidR="00AA194F" w:rsidRPr="00A26F37" w:rsidRDefault="00AA194F" w:rsidP="00AA194F">
      <w:pPr>
        <w:rPr>
          <w:rFonts w:ascii="Arial" w:hAnsi="Arial" w:cs="Arial"/>
        </w:rPr>
      </w:pPr>
      <w:r w:rsidRPr="00A26F37">
        <w:rPr>
          <w:rFonts w:ascii="Arial" w:hAnsi="Arial" w:cs="Arial"/>
        </w:rPr>
        <w:t>A group of institutions including, the Cell and Gene Therapy (CGT) Catapult, Advanced Therapy</w:t>
      </w:r>
      <w:r w:rsidR="00B51352">
        <w:rPr>
          <w:rFonts w:ascii="Arial" w:hAnsi="Arial" w:cs="Arial"/>
        </w:rPr>
        <w:t xml:space="preserve"> </w:t>
      </w:r>
      <w:r>
        <w:rPr>
          <w:rFonts w:ascii="Arial" w:hAnsi="Arial" w:cs="Arial"/>
        </w:rPr>
        <w:t xml:space="preserve">Treatment Centre (ATTC) Network </w:t>
      </w:r>
      <w:proofErr w:type="spellStart"/>
      <w:r w:rsidRPr="00A26F37">
        <w:rPr>
          <w:rFonts w:ascii="Arial" w:hAnsi="Arial" w:cs="Arial"/>
        </w:rPr>
        <w:t>Autolus</w:t>
      </w:r>
      <w:proofErr w:type="spellEnd"/>
      <w:r w:rsidRPr="00A26F37">
        <w:rPr>
          <w:rFonts w:ascii="Arial" w:hAnsi="Arial" w:cs="Arial"/>
        </w:rPr>
        <w:t xml:space="preserve"> Limited (</w:t>
      </w:r>
      <w:proofErr w:type="spellStart"/>
      <w:r w:rsidRPr="00A26F37">
        <w:rPr>
          <w:rFonts w:ascii="Arial" w:hAnsi="Arial" w:cs="Arial"/>
        </w:rPr>
        <w:t>Autolus</w:t>
      </w:r>
      <w:proofErr w:type="spellEnd"/>
      <w:r w:rsidRPr="00A26F37">
        <w:rPr>
          <w:rFonts w:ascii="Arial" w:hAnsi="Arial" w:cs="Arial"/>
        </w:rPr>
        <w:t>), Gilead Sciences Ltd (Gilead)</w:t>
      </w:r>
      <w:r>
        <w:rPr>
          <w:rFonts w:ascii="Arial" w:hAnsi="Arial" w:cs="Arial"/>
        </w:rPr>
        <w:t>,</w:t>
      </w:r>
      <w:r w:rsidRPr="00A26F37">
        <w:rPr>
          <w:rFonts w:ascii="Arial" w:hAnsi="Arial" w:cs="Arial"/>
        </w:rPr>
        <w:t xml:space="preserve"> Janssen-</w:t>
      </w:r>
      <w:proofErr w:type="spellStart"/>
      <w:r w:rsidRPr="00A26F37">
        <w:rPr>
          <w:rFonts w:ascii="Arial" w:hAnsi="Arial" w:cs="Arial"/>
        </w:rPr>
        <w:t>Cilag</w:t>
      </w:r>
      <w:proofErr w:type="spellEnd"/>
      <w:r w:rsidRPr="00A26F37">
        <w:rPr>
          <w:rFonts w:ascii="Arial" w:hAnsi="Arial" w:cs="Arial"/>
        </w:rPr>
        <w:t xml:space="preserve"> Limited (Janssen), NHS Blood Transplant (NHSBT) and The Christie NHS Foundation Trust (The Christie) ( “the Parties”) have agreed to </w:t>
      </w:r>
      <w:r>
        <w:rPr>
          <w:rFonts w:ascii="Arial" w:hAnsi="Arial" w:cs="Arial"/>
        </w:rPr>
        <w:t>participate in a Collaborative Working Agreement in line with the</w:t>
      </w:r>
      <w:r w:rsidRPr="00A26F37">
        <w:rPr>
          <w:rFonts w:ascii="Arial" w:hAnsi="Arial" w:cs="Arial"/>
        </w:rPr>
        <w:t xml:space="preserve"> ABPI Code of Practice</w:t>
      </w:r>
      <w:r>
        <w:rPr>
          <w:rFonts w:ascii="Arial" w:hAnsi="Arial" w:cs="Arial"/>
        </w:rPr>
        <w:t xml:space="preserve"> </w:t>
      </w:r>
      <w:r w:rsidRPr="00A26F37">
        <w:rPr>
          <w:rFonts w:ascii="Arial" w:hAnsi="Arial" w:cs="Arial"/>
        </w:rPr>
        <w:t>to identify and analyse CAR-T patient referral pathways in the UK to recommend future best practice.</w:t>
      </w:r>
    </w:p>
    <w:p w14:paraId="045684A7" w14:textId="77777777" w:rsidR="00AA194F" w:rsidRDefault="00AA194F" w:rsidP="00AA194F">
      <w:pPr>
        <w:rPr>
          <w:rFonts w:ascii="Arial" w:hAnsi="Arial" w:cs="Arial"/>
        </w:rPr>
      </w:pPr>
      <w:r w:rsidRPr="00A26F37">
        <w:rPr>
          <w:rFonts w:ascii="Arial" w:hAnsi="Arial" w:cs="Arial"/>
        </w:rPr>
        <w:t>The project will be delivered by The Christie and NHSBT for the CGT Catapult in collaboration with the Parties. The project will capture the consolidated view of surveys, interviews and mappings at CAR-T treatment centres and convey the critical analysis of pathways with service improvement suggestions and the outline business case for change at the two sites of focus (The Christie and NHSBT).</w:t>
      </w:r>
    </w:p>
    <w:p w14:paraId="062BAF6C" w14:textId="77777777" w:rsidR="00AA194F" w:rsidRPr="00A26F37" w:rsidRDefault="00AA194F" w:rsidP="00AA194F">
      <w:pPr>
        <w:rPr>
          <w:rFonts w:ascii="Arial" w:hAnsi="Arial" w:cs="Arial"/>
        </w:rPr>
      </w:pPr>
      <w:r>
        <w:rPr>
          <w:rFonts w:ascii="Arial" w:hAnsi="Arial" w:cs="Arial"/>
        </w:rPr>
        <w:t xml:space="preserve">This project </w:t>
      </w:r>
      <w:r w:rsidRPr="00A12DE1">
        <w:rPr>
          <w:rFonts w:ascii="Arial" w:hAnsi="Arial" w:cs="Arial"/>
        </w:rPr>
        <w:t xml:space="preserve">involves a balance of contributions from </w:t>
      </w:r>
      <w:r>
        <w:rPr>
          <w:rFonts w:ascii="Arial" w:hAnsi="Arial" w:cs="Arial"/>
        </w:rPr>
        <w:t>all</w:t>
      </w:r>
      <w:r w:rsidRPr="00A12DE1">
        <w:rPr>
          <w:rFonts w:ascii="Arial" w:hAnsi="Arial" w:cs="Arial"/>
        </w:rPr>
        <w:t xml:space="preserve"> parties with the pooling of skills, </w:t>
      </w:r>
      <w:proofErr w:type="gramStart"/>
      <w:r w:rsidRPr="00A12DE1">
        <w:rPr>
          <w:rFonts w:ascii="Arial" w:hAnsi="Arial" w:cs="Arial"/>
        </w:rPr>
        <w:t>experience</w:t>
      </w:r>
      <w:proofErr w:type="gramEnd"/>
      <w:r w:rsidRPr="00A12DE1">
        <w:rPr>
          <w:rFonts w:ascii="Arial" w:hAnsi="Arial" w:cs="Arial"/>
        </w:rPr>
        <w:t xml:space="preserve"> and resources</w:t>
      </w:r>
      <w:r>
        <w:rPr>
          <w:rFonts w:ascii="Arial" w:hAnsi="Arial" w:cs="Arial"/>
        </w:rPr>
        <w:t>.</w:t>
      </w:r>
    </w:p>
    <w:p w14:paraId="54F570EA" w14:textId="77777777" w:rsidR="00AA194F" w:rsidRPr="00A26F37" w:rsidRDefault="00AA194F" w:rsidP="00AA194F">
      <w:pPr>
        <w:spacing w:after="0" w:line="240" w:lineRule="auto"/>
        <w:rPr>
          <w:rFonts w:ascii="Arial" w:hAnsi="Arial" w:cs="Arial"/>
        </w:rPr>
      </w:pPr>
    </w:p>
    <w:p w14:paraId="66F9A110" w14:textId="77777777" w:rsidR="00AA194F" w:rsidRPr="00A26F37" w:rsidRDefault="00AA194F" w:rsidP="00AA194F">
      <w:pPr>
        <w:pStyle w:val="Heading1"/>
        <w:rPr>
          <w:rFonts w:ascii="Arial" w:hAnsi="Arial" w:cs="Arial"/>
        </w:rPr>
      </w:pPr>
      <w:bookmarkStart w:id="2" w:name="_Toc120006876"/>
      <w:r w:rsidRPr="00A26F37">
        <w:rPr>
          <w:rFonts w:ascii="Arial" w:hAnsi="Arial" w:cs="Arial"/>
        </w:rPr>
        <w:t>3.0</w:t>
      </w:r>
      <w:r w:rsidRPr="00A26F37">
        <w:rPr>
          <w:rFonts w:ascii="Arial" w:hAnsi="Arial" w:cs="Arial"/>
        </w:rPr>
        <w:tab/>
        <w:t xml:space="preserve">Project </w:t>
      </w:r>
      <w:r>
        <w:rPr>
          <w:rFonts w:ascii="Arial" w:hAnsi="Arial" w:cs="Arial"/>
        </w:rPr>
        <w:t>Plan</w:t>
      </w:r>
      <w:bookmarkEnd w:id="2"/>
    </w:p>
    <w:p w14:paraId="11A4DDC6" w14:textId="77777777" w:rsidR="00AA194F" w:rsidRPr="00A26F37" w:rsidRDefault="00AA194F" w:rsidP="00AA194F">
      <w:pPr>
        <w:pStyle w:val="ListParagraph"/>
        <w:numPr>
          <w:ilvl w:val="0"/>
          <w:numId w:val="2"/>
        </w:numPr>
        <w:rPr>
          <w:rFonts w:ascii="Arial" w:hAnsi="Arial" w:cs="Arial"/>
        </w:rPr>
      </w:pPr>
      <w:r w:rsidRPr="00A26F37">
        <w:rPr>
          <w:rFonts w:ascii="Arial" w:hAnsi="Arial" w:cs="Arial"/>
        </w:rPr>
        <w:t>Survey a broad range of adult CAR-T treatment centres, secondary referrals centres, patient advocacy groups and governing structures.</w:t>
      </w:r>
    </w:p>
    <w:p w14:paraId="7CDCAB2D" w14:textId="77777777" w:rsidR="00AA194F" w:rsidRPr="00A26F37" w:rsidRDefault="00AA194F" w:rsidP="00AA194F">
      <w:pPr>
        <w:pStyle w:val="ListParagraph"/>
        <w:numPr>
          <w:ilvl w:val="0"/>
          <w:numId w:val="2"/>
        </w:numPr>
        <w:rPr>
          <w:rFonts w:ascii="Arial" w:hAnsi="Arial" w:cs="Arial"/>
        </w:rPr>
      </w:pPr>
      <w:r w:rsidRPr="00A26F37">
        <w:rPr>
          <w:rFonts w:ascii="Arial" w:hAnsi="Arial" w:cs="Arial"/>
        </w:rPr>
        <w:t>Interview key opinion leaders from survey responses to further explore their opinions.</w:t>
      </w:r>
    </w:p>
    <w:p w14:paraId="389FCAAB" w14:textId="77777777" w:rsidR="00AA194F" w:rsidRPr="00A26F37" w:rsidRDefault="00AA194F" w:rsidP="00AA194F">
      <w:pPr>
        <w:pStyle w:val="ListParagraph"/>
        <w:numPr>
          <w:ilvl w:val="0"/>
          <w:numId w:val="2"/>
        </w:numPr>
        <w:rPr>
          <w:rFonts w:ascii="Arial" w:hAnsi="Arial" w:cs="Arial"/>
        </w:rPr>
      </w:pPr>
      <w:r>
        <w:rPr>
          <w:rFonts w:ascii="Arial" w:hAnsi="Arial" w:cs="Arial"/>
        </w:rPr>
        <w:t>M</w:t>
      </w:r>
      <w:r w:rsidRPr="00A26F37">
        <w:rPr>
          <w:rFonts w:ascii="Arial" w:hAnsi="Arial" w:cs="Arial"/>
        </w:rPr>
        <w:t>ap the patient referrals processes from secondary referrals centres into CAR-T treatment centres, critically analyse referral practices, highlighting best practice and evaluating root causes for ineffective practices.</w:t>
      </w:r>
    </w:p>
    <w:p w14:paraId="652EDC8F" w14:textId="77777777" w:rsidR="00AA194F" w:rsidRPr="00A26F37" w:rsidRDefault="00AA194F" w:rsidP="00AA194F">
      <w:pPr>
        <w:pStyle w:val="ListParagraph"/>
        <w:numPr>
          <w:ilvl w:val="0"/>
          <w:numId w:val="2"/>
        </w:numPr>
        <w:rPr>
          <w:rFonts w:ascii="Arial" w:hAnsi="Arial" w:cs="Arial"/>
        </w:rPr>
      </w:pPr>
      <w:r w:rsidRPr="00A26F37">
        <w:rPr>
          <w:rFonts w:ascii="Arial" w:hAnsi="Arial" w:cs="Arial"/>
        </w:rPr>
        <w:t>Define patient and healthcare professional requirements for a high-quality referrals process.</w:t>
      </w:r>
    </w:p>
    <w:p w14:paraId="51D03D01" w14:textId="77777777" w:rsidR="00AA194F" w:rsidRPr="001644E4" w:rsidRDefault="00AA194F" w:rsidP="00AA194F">
      <w:pPr>
        <w:pStyle w:val="ListParagraph"/>
        <w:numPr>
          <w:ilvl w:val="0"/>
          <w:numId w:val="2"/>
        </w:numPr>
        <w:rPr>
          <w:rFonts w:ascii="Arial" w:hAnsi="Arial" w:cs="Arial"/>
        </w:rPr>
      </w:pPr>
      <w:r w:rsidRPr="00BD1B4E">
        <w:rPr>
          <w:rFonts w:ascii="Arial" w:hAnsi="Arial" w:cs="Arial"/>
        </w:rPr>
        <w:t>Explore how equity of access is affected by referral practices and</w:t>
      </w:r>
      <w:r>
        <w:rPr>
          <w:rFonts w:ascii="Arial" w:hAnsi="Arial" w:cs="Arial"/>
        </w:rPr>
        <w:t xml:space="preserve"> </w:t>
      </w:r>
      <w:r w:rsidRPr="001644E4">
        <w:rPr>
          <w:rFonts w:ascii="Arial" w:hAnsi="Arial" w:cs="Arial"/>
        </w:rPr>
        <w:t>how current processes can account for anticipated changes in CAR-T environment</w:t>
      </w:r>
      <w:r>
        <w:rPr>
          <w:rFonts w:ascii="Arial" w:hAnsi="Arial" w:cs="Arial"/>
        </w:rPr>
        <w:t>.</w:t>
      </w:r>
    </w:p>
    <w:p w14:paraId="3CC12E26" w14:textId="77777777" w:rsidR="00AA194F" w:rsidRPr="00A26F37" w:rsidRDefault="00AA194F" w:rsidP="00AA194F">
      <w:pPr>
        <w:pStyle w:val="Heading1"/>
        <w:numPr>
          <w:ilvl w:val="0"/>
          <w:numId w:val="5"/>
        </w:numPr>
        <w:tabs>
          <w:tab w:val="num" w:pos="360"/>
        </w:tabs>
        <w:ind w:left="0" w:firstLine="0"/>
        <w:rPr>
          <w:rFonts w:ascii="Arial" w:hAnsi="Arial" w:cs="Arial"/>
        </w:rPr>
      </w:pPr>
      <w:r>
        <w:rPr>
          <w:rFonts w:ascii="Arial" w:hAnsi="Arial" w:cs="Arial"/>
        </w:rPr>
        <w:lastRenderedPageBreak/>
        <w:t xml:space="preserve">  </w:t>
      </w:r>
      <w:bookmarkStart w:id="3" w:name="_Toc120006877"/>
      <w:r w:rsidRPr="00A26F37">
        <w:rPr>
          <w:rFonts w:ascii="Arial" w:hAnsi="Arial" w:cs="Arial"/>
        </w:rPr>
        <w:t>Expected Project Outcomes</w:t>
      </w:r>
      <w:bookmarkEnd w:id="3"/>
    </w:p>
    <w:p w14:paraId="5A143907" w14:textId="77777777" w:rsidR="00AA194F" w:rsidRDefault="00AA194F" w:rsidP="00AA194F">
      <w:pPr>
        <w:rPr>
          <w:rFonts w:ascii="Arial" w:hAnsi="Arial" w:cs="Arial"/>
        </w:rPr>
      </w:pPr>
      <w:r w:rsidRPr="001644E4">
        <w:rPr>
          <w:rFonts w:ascii="Arial" w:hAnsi="Arial" w:cs="Arial"/>
        </w:rPr>
        <w:t>The project outputs will be a</w:t>
      </w:r>
      <w:r>
        <w:rPr>
          <w:rFonts w:ascii="Arial" w:hAnsi="Arial" w:cs="Arial"/>
        </w:rPr>
        <w:t xml:space="preserve"> white paper with a</w:t>
      </w:r>
      <w:r w:rsidRPr="001644E4">
        <w:rPr>
          <w:rFonts w:ascii="Arial" w:hAnsi="Arial" w:cs="Arial"/>
        </w:rPr>
        <w:t xml:space="preserve"> set of justified recommendations for improved, standardised future </w:t>
      </w:r>
      <w:r>
        <w:rPr>
          <w:rFonts w:ascii="Arial" w:hAnsi="Arial" w:cs="Arial"/>
        </w:rPr>
        <w:t xml:space="preserve">CAR-T patient referral </w:t>
      </w:r>
      <w:r w:rsidRPr="001644E4">
        <w:rPr>
          <w:rFonts w:ascii="Arial" w:hAnsi="Arial" w:cs="Arial"/>
        </w:rPr>
        <w:t>practice</w:t>
      </w:r>
      <w:r>
        <w:rPr>
          <w:rFonts w:ascii="Arial" w:hAnsi="Arial" w:cs="Arial"/>
        </w:rPr>
        <w:t xml:space="preserve"> and </w:t>
      </w:r>
      <w:r w:rsidRPr="001644E4">
        <w:rPr>
          <w:rFonts w:ascii="Arial" w:hAnsi="Arial" w:cs="Arial"/>
        </w:rPr>
        <w:t>an outline business case for The Christie and NHSBT</w:t>
      </w:r>
      <w:r>
        <w:rPr>
          <w:rFonts w:ascii="Arial" w:hAnsi="Arial" w:cs="Arial"/>
        </w:rPr>
        <w:t>.</w:t>
      </w:r>
    </w:p>
    <w:p w14:paraId="54DC977C" w14:textId="77777777" w:rsidR="00AA194F" w:rsidRPr="001644E4" w:rsidRDefault="00AA194F" w:rsidP="00AA194F">
      <w:pPr>
        <w:rPr>
          <w:rFonts w:ascii="Arial" w:hAnsi="Arial" w:cs="Arial"/>
        </w:rPr>
      </w:pPr>
      <w:r>
        <w:rPr>
          <w:rFonts w:ascii="Arial" w:hAnsi="Arial" w:cs="Arial"/>
        </w:rPr>
        <w:t>It is expected that this project will enable:</w:t>
      </w:r>
    </w:p>
    <w:p w14:paraId="2DAC5700" w14:textId="77777777" w:rsidR="00AA194F" w:rsidRPr="00A26F37" w:rsidRDefault="00AA194F" w:rsidP="00AA194F">
      <w:pPr>
        <w:pStyle w:val="ListParagraph"/>
        <w:numPr>
          <w:ilvl w:val="0"/>
          <w:numId w:val="3"/>
        </w:numPr>
        <w:rPr>
          <w:rFonts w:ascii="Arial" w:hAnsi="Arial" w:cs="Arial"/>
        </w:rPr>
      </w:pPr>
      <w:r w:rsidRPr="00A26F37">
        <w:rPr>
          <w:rFonts w:ascii="Arial" w:hAnsi="Arial" w:cs="Arial"/>
        </w:rPr>
        <w:t>The creation of powerful collaborations which overcome the challenges in CAR-T patient referrals pathways / processes and transform these barriers into industrial advantages that develop new perspectives on CAR-T patient referrals</w:t>
      </w:r>
    </w:p>
    <w:p w14:paraId="47926481" w14:textId="77777777" w:rsidR="00AA194F" w:rsidRPr="00A26F37" w:rsidRDefault="00AA194F" w:rsidP="00AA194F">
      <w:pPr>
        <w:pStyle w:val="ListParagraph"/>
        <w:numPr>
          <w:ilvl w:val="0"/>
          <w:numId w:val="3"/>
        </w:numPr>
        <w:rPr>
          <w:rFonts w:ascii="Arial" w:hAnsi="Arial" w:cs="Arial"/>
        </w:rPr>
      </w:pPr>
      <w:r w:rsidRPr="00A26F37">
        <w:rPr>
          <w:rFonts w:ascii="Arial" w:hAnsi="Arial" w:cs="Arial"/>
        </w:rPr>
        <w:t xml:space="preserve">Support </w:t>
      </w:r>
      <w:r>
        <w:rPr>
          <w:rFonts w:ascii="Arial" w:hAnsi="Arial" w:cs="Arial"/>
        </w:rPr>
        <w:t xml:space="preserve">of </w:t>
      </w:r>
      <w:r w:rsidRPr="00A26F37">
        <w:rPr>
          <w:rFonts w:ascii="Arial" w:hAnsi="Arial" w:cs="Arial"/>
        </w:rPr>
        <w:t>clinical adoption and delivery of CAR-T therapies in the UK</w:t>
      </w:r>
    </w:p>
    <w:p w14:paraId="562689F8" w14:textId="77777777" w:rsidR="00AA194F" w:rsidRPr="00A26F37" w:rsidRDefault="00AA194F" w:rsidP="00AA194F">
      <w:pPr>
        <w:pStyle w:val="ListParagraph"/>
        <w:numPr>
          <w:ilvl w:val="0"/>
          <w:numId w:val="3"/>
        </w:numPr>
        <w:rPr>
          <w:rFonts w:ascii="Arial" w:hAnsi="Arial" w:cs="Arial"/>
        </w:rPr>
      </w:pPr>
      <w:r w:rsidRPr="00A26F37">
        <w:rPr>
          <w:rFonts w:ascii="Arial" w:hAnsi="Arial" w:cs="Arial"/>
        </w:rPr>
        <w:t>Better understanding of the challenges faced by NHS organisations providing CAR-T</w:t>
      </w:r>
    </w:p>
    <w:p w14:paraId="1F87D885" w14:textId="77777777" w:rsidR="00AA194F" w:rsidRPr="00A26F37" w:rsidRDefault="00AA194F" w:rsidP="00AA194F">
      <w:pPr>
        <w:pStyle w:val="ListParagraph"/>
        <w:numPr>
          <w:ilvl w:val="0"/>
          <w:numId w:val="3"/>
        </w:numPr>
        <w:rPr>
          <w:rFonts w:ascii="Arial" w:hAnsi="Arial" w:cs="Arial"/>
        </w:rPr>
      </w:pPr>
      <w:r w:rsidRPr="00A26F37">
        <w:rPr>
          <w:rFonts w:ascii="Arial" w:hAnsi="Arial" w:cs="Arial"/>
          <w:iCs/>
        </w:rPr>
        <w:t xml:space="preserve">Informing of a best practice referral and care coordination process from </w:t>
      </w:r>
      <w:r>
        <w:rPr>
          <w:rFonts w:ascii="Arial" w:hAnsi="Arial" w:cs="Arial"/>
          <w:iCs/>
        </w:rPr>
        <w:t>referring centres</w:t>
      </w:r>
      <w:r w:rsidRPr="00A26F37">
        <w:rPr>
          <w:rFonts w:ascii="Arial" w:hAnsi="Arial" w:cs="Arial"/>
          <w:iCs/>
        </w:rPr>
        <w:t xml:space="preserve"> to CAR-T centre</w:t>
      </w:r>
      <w:r>
        <w:rPr>
          <w:rFonts w:ascii="Arial" w:hAnsi="Arial" w:cs="Arial"/>
          <w:iCs/>
        </w:rPr>
        <w:t>s</w:t>
      </w:r>
      <w:r w:rsidRPr="00A26F37">
        <w:rPr>
          <w:rFonts w:ascii="Arial" w:hAnsi="Arial" w:cs="Arial"/>
          <w:iCs/>
        </w:rPr>
        <w:t xml:space="preserve"> which is patient-centric and fully supported by documentation.</w:t>
      </w:r>
    </w:p>
    <w:p w14:paraId="398A2F99" w14:textId="77777777" w:rsidR="00AA194F" w:rsidRPr="00A26F37" w:rsidRDefault="00AA194F" w:rsidP="00AA194F">
      <w:pPr>
        <w:pStyle w:val="ListParagraph"/>
        <w:numPr>
          <w:ilvl w:val="0"/>
          <w:numId w:val="3"/>
        </w:numPr>
        <w:rPr>
          <w:rFonts w:ascii="Arial" w:hAnsi="Arial" w:cs="Arial"/>
        </w:rPr>
      </w:pPr>
      <w:r w:rsidRPr="00A26F37">
        <w:rPr>
          <w:rFonts w:ascii="Arial" w:hAnsi="Arial" w:cs="Arial"/>
        </w:rPr>
        <w:t>Creation of greater synergy between CAR-T treatment centres and referring centres</w:t>
      </w:r>
      <w:r>
        <w:rPr>
          <w:rFonts w:ascii="Arial" w:hAnsi="Arial" w:cs="Arial"/>
        </w:rPr>
        <w:t>.</w:t>
      </w:r>
    </w:p>
    <w:p w14:paraId="0550CCCA" w14:textId="77777777" w:rsidR="00AA194F" w:rsidRDefault="00AA194F" w:rsidP="00AA194F">
      <w:pPr>
        <w:pStyle w:val="Heading1"/>
        <w:rPr>
          <w:rFonts w:ascii="Arial" w:hAnsi="Arial" w:cs="Arial"/>
        </w:rPr>
      </w:pPr>
      <w:bookmarkStart w:id="4" w:name="_Toc120006878"/>
      <w:r w:rsidRPr="00A26F37">
        <w:rPr>
          <w:rFonts w:ascii="Arial" w:hAnsi="Arial" w:cs="Arial"/>
        </w:rPr>
        <w:t>5.0</w:t>
      </w:r>
      <w:r w:rsidRPr="00A26F37">
        <w:rPr>
          <w:rFonts w:ascii="Arial" w:hAnsi="Arial" w:cs="Arial"/>
        </w:rPr>
        <w:tab/>
        <w:t>Expected Project Benefits</w:t>
      </w:r>
      <w:bookmarkEnd w:id="4"/>
    </w:p>
    <w:p w14:paraId="07CD0A73" w14:textId="77777777" w:rsidR="00AA194F" w:rsidRPr="001644E4" w:rsidRDefault="00AA194F" w:rsidP="00AA194F">
      <w:pPr>
        <w:rPr>
          <w:rFonts w:ascii="Arial" w:hAnsi="Arial" w:cs="Arial"/>
          <w:b/>
          <w:bCs/>
        </w:rPr>
      </w:pPr>
      <w:r w:rsidRPr="001644E4">
        <w:rPr>
          <w:rFonts w:ascii="Arial" w:hAnsi="Arial" w:cs="Arial"/>
          <w:b/>
          <w:bCs/>
        </w:rPr>
        <w:t>To patients:</w:t>
      </w:r>
    </w:p>
    <w:p w14:paraId="60167F92" w14:textId="77777777" w:rsidR="00AA194F" w:rsidRPr="001644E4" w:rsidRDefault="00AA194F" w:rsidP="00AA194F">
      <w:pPr>
        <w:pStyle w:val="ListParagraph"/>
        <w:numPr>
          <w:ilvl w:val="0"/>
          <w:numId w:val="6"/>
        </w:numPr>
        <w:rPr>
          <w:rFonts w:ascii="Arial" w:hAnsi="Arial" w:cs="Arial"/>
        </w:rPr>
      </w:pPr>
      <w:r w:rsidRPr="001644E4">
        <w:rPr>
          <w:rFonts w:ascii="Arial" w:hAnsi="Arial" w:cs="Arial"/>
        </w:rPr>
        <w:t xml:space="preserve">More effective patient referrals and thus </w:t>
      </w:r>
      <w:r>
        <w:rPr>
          <w:rFonts w:ascii="Arial" w:hAnsi="Arial" w:cs="Arial"/>
        </w:rPr>
        <w:t>i</w:t>
      </w:r>
      <w:r w:rsidRPr="001644E4">
        <w:rPr>
          <w:rFonts w:ascii="Arial" w:hAnsi="Arial" w:cs="Arial"/>
        </w:rPr>
        <w:t>mproved access to care.</w:t>
      </w:r>
    </w:p>
    <w:p w14:paraId="5A28DACE" w14:textId="77777777" w:rsidR="00AA194F" w:rsidRPr="001644E4" w:rsidRDefault="00AA194F" w:rsidP="00AA194F">
      <w:pPr>
        <w:pStyle w:val="ListParagraph"/>
        <w:numPr>
          <w:ilvl w:val="0"/>
          <w:numId w:val="6"/>
        </w:numPr>
        <w:rPr>
          <w:rFonts w:ascii="Arial" w:hAnsi="Arial" w:cs="Arial"/>
        </w:rPr>
      </w:pPr>
      <w:r w:rsidRPr="001644E4">
        <w:rPr>
          <w:rFonts w:ascii="Arial" w:hAnsi="Arial" w:cs="Arial"/>
        </w:rPr>
        <w:t xml:space="preserve">Equity of access </w:t>
      </w:r>
      <w:r>
        <w:rPr>
          <w:rFonts w:ascii="Arial" w:hAnsi="Arial" w:cs="Arial"/>
        </w:rPr>
        <w:t xml:space="preserve">to CAR-T </w:t>
      </w:r>
      <w:r w:rsidRPr="001644E4">
        <w:rPr>
          <w:rFonts w:ascii="Arial" w:hAnsi="Arial" w:cs="Arial"/>
        </w:rPr>
        <w:t>around the country.</w:t>
      </w:r>
    </w:p>
    <w:p w14:paraId="6C5EF7B6" w14:textId="77777777" w:rsidR="00AA194F" w:rsidRPr="001644E4" w:rsidRDefault="00AA194F" w:rsidP="00AA194F">
      <w:pPr>
        <w:rPr>
          <w:rFonts w:ascii="Arial" w:hAnsi="Arial" w:cs="Arial"/>
          <w:b/>
          <w:bCs/>
        </w:rPr>
      </w:pPr>
      <w:r w:rsidRPr="001644E4">
        <w:rPr>
          <w:rFonts w:ascii="Arial" w:hAnsi="Arial" w:cs="Arial"/>
          <w:b/>
          <w:bCs/>
        </w:rPr>
        <w:t>To the NHS:</w:t>
      </w:r>
    </w:p>
    <w:p w14:paraId="1251EA05" w14:textId="77777777" w:rsidR="00AA194F" w:rsidRPr="001644E4" w:rsidRDefault="00AA194F" w:rsidP="00AA194F">
      <w:pPr>
        <w:pStyle w:val="ListParagraph"/>
        <w:numPr>
          <w:ilvl w:val="0"/>
          <w:numId w:val="7"/>
        </w:numPr>
        <w:rPr>
          <w:rFonts w:ascii="Arial" w:hAnsi="Arial" w:cs="Arial"/>
        </w:rPr>
      </w:pPr>
      <w:r w:rsidRPr="001644E4">
        <w:rPr>
          <w:rFonts w:ascii="Arial" w:hAnsi="Arial" w:cs="Arial"/>
        </w:rPr>
        <w:t>Better understanding of the challenges faced by NHS organisations providing CAR-T</w:t>
      </w:r>
      <w:r>
        <w:rPr>
          <w:rFonts w:ascii="Arial" w:hAnsi="Arial" w:cs="Arial"/>
        </w:rPr>
        <w:t>.</w:t>
      </w:r>
    </w:p>
    <w:p w14:paraId="6B8B80AE" w14:textId="77777777" w:rsidR="00AA194F" w:rsidRPr="001644E4" w:rsidRDefault="00AA194F" w:rsidP="00AA194F">
      <w:pPr>
        <w:pStyle w:val="ListParagraph"/>
        <w:numPr>
          <w:ilvl w:val="0"/>
          <w:numId w:val="7"/>
        </w:numPr>
        <w:rPr>
          <w:rFonts w:ascii="Arial" w:hAnsi="Arial" w:cs="Arial"/>
        </w:rPr>
      </w:pPr>
      <w:r w:rsidRPr="001644E4">
        <w:rPr>
          <w:rFonts w:ascii="Arial" w:hAnsi="Arial" w:cs="Arial"/>
        </w:rPr>
        <w:t>Information on requirements to deliver better service for patients</w:t>
      </w:r>
      <w:r>
        <w:rPr>
          <w:rFonts w:ascii="Arial" w:hAnsi="Arial" w:cs="Arial"/>
        </w:rPr>
        <w:t>.</w:t>
      </w:r>
    </w:p>
    <w:p w14:paraId="61D47C42" w14:textId="77777777" w:rsidR="00AA194F" w:rsidRDefault="00AA194F" w:rsidP="00AA194F">
      <w:pPr>
        <w:pStyle w:val="ListParagraph"/>
        <w:numPr>
          <w:ilvl w:val="0"/>
          <w:numId w:val="7"/>
        </w:numPr>
        <w:rPr>
          <w:rFonts w:ascii="Arial" w:hAnsi="Arial" w:cs="Arial"/>
        </w:rPr>
      </w:pPr>
      <w:r w:rsidRPr="001644E4">
        <w:rPr>
          <w:rFonts w:ascii="Arial" w:hAnsi="Arial" w:cs="Arial"/>
        </w:rPr>
        <w:t xml:space="preserve">Shared learning across the NHS </w:t>
      </w:r>
      <w:r>
        <w:rPr>
          <w:rFonts w:ascii="Arial" w:hAnsi="Arial" w:cs="Arial"/>
        </w:rPr>
        <w:t>through the</w:t>
      </w:r>
      <w:r w:rsidRPr="001644E4">
        <w:rPr>
          <w:rFonts w:ascii="Arial" w:hAnsi="Arial" w:cs="Arial"/>
        </w:rPr>
        <w:t xml:space="preserve"> white paper</w:t>
      </w:r>
      <w:r>
        <w:rPr>
          <w:rFonts w:ascii="Arial" w:hAnsi="Arial" w:cs="Arial"/>
        </w:rPr>
        <w:t>.</w:t>
      </w:r>
    </w:p>
    <w:p w14:paraId="2FAFE34B" w14:textId="77777777" w:rsidR="00AA194F" w:rsidRPr="001644E4" w:rsidRDefault="00AA194F" w:rsidP="00AA194F">
      <w:pPr>
        <w:rPr>
          <w:rFonts w:ascii="Arial" w:hAnsi="Arial" w:cs="Arial"/>
          <w:b/>
          <w:bCs/>
        </w:rPr>
      </w:pPr>
      <w:r w:rsidRPr="001644E4">
        <w:rPr>
          <w:rFonts w:ascii="Arial" w:hAnsi="Arial" w:cs="Arial"/>
          <w:b/>
          <w:bCs/>
        </w:rPr>
        <w:t>To the Cell and Gene Therapy Catapult</w:t>
      </w:r>
      <w:r>
        <w:rPr>
          <w:rFonts w:ascii="Arial" w:hAnsi="Arial" w:cs="Arial"/>
          <w:b/>
          <w:bCs/>
        </w:rPr>
        <w:t>:</w:t>
      </w:r>
    </w:p>
    <w:p w14:paraId="09AF7CA1" w14:textId="77777777" w:rsidR="00AA194F" w:rsidRPr="001644E4" w:rsidRDefault="00AA194F" w:rsidP="00AA194F">
      <w:pPr>
        <w:pStyle w:val="ListParagraph"/>
        <w:numPr>
          <w:ilvl w:val="0"/>
          <w:numId w:val="8"/>
        </w:numPr>
        <w:rPr>
          <w:rFonts w:ascii="Arial" w:hAnsi="Arial" w:cs="Arial"/>
        </w:rPr>
      </w:pPr>
      <w:r w:rsidRPr="001644E4">
        <w:rPr>
          <w:rFonts w:ascii="Arial" w:hAnsi="Arial" w:cs="Arial"/>
        </w:rPr>
        <w:t>Better understanding of the challenges faced by NHS organisations providing CAR-T</w:t>
      </w:r>
      <w:r>
        <w:rPr>
          <w:rFonts w:ascii="Arial" w:hAnsi="Arial" w:cs="Arial"/>
        </w:rPr>
        <w:t>.</w:t>
      </w:r>
    </w:p>
    <w:p w14:paraId="2C4CF1CC" w14:textId="77777777" w:rsidR="00AA194F" w:rsidRDefault="00AA194F" w:rsidP="00AA194F">
      <w:pPr>
        <w:pStyle w:val="ListParagraph"/>
        <w:numPr>
          <w:ilvl w:val="0"/>
          <w:numId w:val="8"/>
        </w:numPr>
        <w:rPr>
          <w:rFonts w:ascii="Arial" w:hAnsi="Arial" w:cs="Arial"/>
        </w:rPr>
      </w:pPr>
      <w:r>
        <w:rPr>
          <w:rFonts w:ascii="Arial" w:hAnsi="Arial" w:cs="Arial"/>
        </w:rPr>
        <w:t>C</w:t>
      </w:r>
      <w:r w:rsidRPr="001644E4">
        <w:rPr>
          <w:rFonts w:ascii="Arial" w:hAnsi="Arial" w:cs="Arial"/>
        </w:rPr>
        <w:t>reation of powerful collaborations which overcome the challenges in CAR-T patient referrals and transform these barriers into industrial advantages that develop new perspectives on CAR-T patient referrals</w:t>
      </w:r>
      <w:r>
        <w:rPr>
          <w:rFonts w:ascii="Arial" w:hAnsi="Arial" w:cs="Arial"/>
        </w:rPr>
        <w:t>.</w:t>
      </w:r>
    </w:p>
    <w:p w14:paraId="1EE4F9A0" w14:textId="77777777" w:rsidR="00AA194F" w:rsidRPr="001644E4" w:rsidRDefault="00AA194F" w:rsidP="00AA194F">
      <w:pPr>
        <w:rPr>
          <w:rFonts w:ascii="Arial" w:hAnsi="Arial" w:cs="Arial"/>
          <w:b/>
          <w:bCs/>
          <w:color w:val="000000" w:themeColor="text1"/>
        </w:rPr>
      </w:pPr>
      <w:r w:rsidRPr="001644E4">
        <w:rPr>
          <w:rFonts w:ascii="Arial" w:hAnsi="Arial" w:cs="Arial"/>
          <w:b/>
          <w:bCs/>
          <w:color w:val="000000" w:themeColor="text1"/>
        </w:rPr>
        <w:t>To the Pharmaceutical Company Partners:</w:t>
      </w:r>
    </w:p>
    <w:p w14:paraId="514932C9" w14:textId="77777777" w:rsidR="00AA194F" w:rsidRPr="001644E4" w:rsidRDefault="00AA194F" w:rsidP="00AA194F">
      <w:pPr>
        <w:pStyle w:val="ListParagraph"/>
        <w:numPr>
          <w:ilvl w:val="0"/>
          <w:numId w:val="9"/>
        </w:numPr>
        <w:rPr>
          <w:rFonts w:ascii="Arial" w:hAnsi="Arial" w:cs="Arial"/>
        </w:rPr>
      </w:pPr>
      <w:r w:rsidRPr="001644E4">
        <w:rPr>
          <w:rFonts w:ascii="Arial" w:hAnsi="Arial" w:cs="Arial"/>
        </w:rPr>
        <w:t>Better understanding of the challenges faced by NHS organisations providing CAR-T</w:t>
      </w:r>
      <w:r>
        <w:rPr>
          <w:rFonts w:ascii="Arial" w:hAnsi="Arial" w:cs="Arial"/>
        </w:rPr>
        <w:t>.</w:t>
      </w:r>
    </w:p>
    <w:p w14:paraId="002E23B0" w14:textId="77777777" w:rsidR="00AA194F" w:rsidRPr="001644E4" w:rsidRDefault="00AA194F" w:rsidP="00AA194F">
      <w:pPr>
        <w:pStyle w:val="ListParagraph"/>
        <w:numPr>
          <w:ilvl w:val="0"/>
          <w:numId w:val="9"/>
        </w:numPr>
        <w:rPr>
          <w:rFonts w:ascii="Arial" w:hAnsi="Arial" w:cs="Arial"/>
        </w:rPr>
      </w:pPr>
      <w:r w:rsidRPr="001644E4">
        <w:rPr>
          <w:rFonts w:ascii="Arial" w:hAnsi="Arial" w:cs="Arial"/>
        </w:rPr>
        <w:t xml:space="preserve">Improved NHS processes to </w:t>
      </w:r>
      <w:r>
        <w:rPr>
          <w:rFonts w:ascii="Arial" w:hAnsi="Arial" w:cs="Arial"/>
        </w:rPr>
        <w:t>ensure increased access to CAR-T products for all eligible patients.</w:t>
      </w:r>
    </w:p>
    <w:p w14:paraId="051BC22D" w14:textId="77777777" w:rsidR="00AA194F" w:rsidRPr="00A26F37" w:rsidRDefault="00AA194F" w:rsidP="00AA194F">
      <w:pPr>
        <w:pStyle w:val="Heading1"/>
        <w:rPr>
          <w:rFonts w:ascii="Arial" w:hAnsi="Arial" w:cs="Arial"/>
        </w:rPr>
      </w:pPr>
      <w:bookmarkStart w:id="5" w:name="_Toc120006879"/>
      <w:r>
        <w:rPr>
          <w:rFonts w:ascii="Arial" w:hAnsi="Arial" w:cs="Arial"/>
        </w:rPr>
        <w:t>6</w:t>
      </w:r>
      <w:r w:rsidRPr="00A26F37">
        <w:rPr>
          <w:rFonts w:ascii="Arial" w:hAnsi="Arial" w:cs="Arial"/>
        </w:rPr>
        <w:t>.0</w:t>
      </w:r>
      <w:r w:rsidRPr="00A26F37">
        <w:rPr>
          <w:rFonts w:ascii="Arial" w:hAnsi="Arial" w:cs="Arial"/>
        </w:rPr>
        <w:tab/>
        <w:t>Duration of Project</w:t>
      </w:r>
      <w:bookmarkEnd w:id="5"/>
    </w:p>
    <w:p w14:paraId="14F4E469" w14:textId="77777777" w:rsidR="00AA194F" w:rsidRPr="00A26F37" w:rsidRDefault="00AA194F" w:rsidP="00AA194F">
      <w:pPr>
        <w:rPr>
          <w:rFonts w:ascii="Arial" w:hAnsi="Arial" w:cs="Arial"/>
        </w:rPr>
      </w:pPr>
      <w:r w:rsidRPr="00A26F37">
        <w:rPr>
          <w:rFonts w:ascii="Arial" w:hAnsi="Arial" w:cs="Arial"/>
        </w:rPr>
        <w:t>6 months (</w:t>
      </w:r>
      <w:r>
        <w:rPr>
          <w:rFonts w:ascii="Arial" w:hAnsi="Arial" w:cs="Arial"/>
        </w:rPr>
        <w:t>Dec</w:t>
      </w:r>
      <w:r w:rsidRPr="00A26F37">
        <w:rPr>
          <w:rFonts w:ascii="Arial" w:hAnsi="Arial" w:cs="Arial"/>
        </w:rPr>
        <w:t xml:space="preserve"> 2022 – </w:t>
      </w:r>
      <w:r>
        <w:rPr>
          <w:rFonts w:ascii="Arial" w:hAnsi="Arial" w:cs="Arial"/>
        </w:rPr>
        <w:t>Jun</w:t>
      </w:r>
      <w:r w:rsidRPr="00A26F37">
        <w:rPr>
          <w:rFonts w:ascii="Arial" w:hAnsi="Arial" w:cs="Arial"/>
        </w:rPr>
        <w:t xml:space="preserve"> 202</w:t>
      </w:r>
      <w:r>
        <w:rPr>
          <w:rFonts w:ascii="Arial" w:hAnsi="Arial" w:cs="Arial"/>
        </w:rPr>
        <w:t>3</w:t>
      </w:r>
      <w:r w:rsidRPr="00A26F37">
        <w:rPr>
          <w:rFonts w:ascii="Arial" w:hAnsi="Arial" w:cs="Arial"/>
        </w:rPr>
        <w:t>)</w:t>
      </w:r>
    </w:p>
    <w:p w14:paraId="11EB4A81" w14:textId="77777777" w:rsidR="00AA194F" w:rsidRPr="00A26F37" w:rsidRDefault="00AA194F" w:rsidP="00AA194F">
      <w:pPr>
        <w:pStyle w:val="Heading1"/>
        <w:rPr>
          <w:rFonts w:ascii="Arial" w:hAnsi="Arial" w:cs="Arial"/>
        </w:rPr>
      </w:pPr>
      <w:bookmarkStart w:id="6" w:name="_Toc120006880"/>
      <w:r>
        <w:rPr>
          <w:rFonts w:ascii="Arial" w:hAnsi="Arial" w:cs="Arial"/>
        </w:rPr>
        <w:t>7</w:t>
      </w:r>
      <w:r w:rsidRPr="00A26F37">
        <w:rPr>
          <w:rFonts w:ascii="Arial" w:hAnsi="Arial" w:cs="Arial"/>
        </w:rPr>
        <w:t>.0</w:t>
      </w:r>
      <w:r w:rsidRPr="00A26F37">
        <w:rPr>
          <w:rFonts w:ascii="Arial" w:hAnsi="Arial" w:cs="Arial"/>
        </w:rPr>
        <w:tab/>
        <w:t>Contacts</w:t>
      </w:r>
      <w:bookmarkEnd w:id="6"/>
    </w:p>
    <w:p w14:paraId="0A95E68F" w14:textId="77777777" w:rsidR="00AA194F" w:rsidRPr="00A26F37" w:rsidRDefault="00AA194F" w:rsidP="00AA194F">
      <w:pPr>
        <w:spacing w:after="0" w:line="240" w:lineRule="auto"/>
        <w:contextualSpacing/>
        <w:rPr>
          <w:rFonts w:ascii="Arial" w:hAnsi="Arial" w:cs="Arial"/>
        </w:rPr>
      </w:pPr>
    </w:p>
    <w:p w14:paraId="33BAB3CF" w14:textId="77777777" w:rsidR="00AA194F" w:rsidRPr="00A26F37" w:rsidRDefault="00AA194F" w:rsidP="00AA194F">
      <w:pPr>
        <w:pStyle w:val="ListParagraph"/>
        <w:numPr>
          <w:ilvl w:val="0"/>
          <w:numId w:val="4"/>
        </w:numPr>
        <w:spacing w:after="0" w:line="240" w:lineRule="auto"/>
        <w:rPr>
          <w:rFonts w:ascii="Arial" w:hAnsi="Arial" w:cs="Arial"/>
        </w:rPr>
      </w:pPr>
      <w:r w:rsidRPr="00A26F37">
        <w:rPr>
          <w:rFonts w:ascii="Arial" w:hAnsi="Arial" w:cs="Arial"/>
        </w:rPr>
        <w:t xml:space="preserve">Fiona </w:t>
      </w:r>
      <w:proofErr w:type="spellStart"/>
      <w:r w:rsidRPr="00A26F37">
        <w:rPr>
          <w:rFonts w:ascii="Arial" w:hAnsi="Arial" w:cs="Arial"/>
        </w:rPr>
        <w:t>Thistlethwaite</w:t>
      </w:r>
      <w:proofErr w:type="spellEnd"/>
      <w:r w:rsidRPr="00A26F37">
        <w:rPr>
          <w:rFonts w:ascii="Arial" w:hAnsi="Arial" w:cs="Arial"/>
        </w:rPr>
        <w:t xml:space="preserve">, ATTC Project Lead / Director </w:t>
      </w:r>
      <w:proofErr w:type="spellStart"/>
      <w:r w:rsidRPr="00A26F37">
        <w:rPr>
          <w:rFonts w:ascii="Arial" w:hAnsi="Arial" w:cs="Arial"/>
        </w:rPr>
        <w:t>iMATCH</w:t>
      </w:r>
      <w:proofErr w:type="spellEnd"/>
    </w:p>
    <w:p w14:paraId="1C90E2B5" w14:textId="77777777" w:rsidR="00AA194F" w:rsidRPr="00A26F37" w:rsidRDefault="00AA194F" w:rsidP="00AA194F">
      <w:pPr>
        <w:pStyle w:val="ListParagraph"/>
        <w:numPr>
          <w:ilvl w:val="0"/>
          <w:numId w:val="4"/>
        </w:numPr>
        <w:spacing w:after="0" w:line="240" w:lineRule="auto"/>
        <w:rPr>
          <w:rFonts w:ascii="Arial" w:hAnsi="Arial" w:cs="Arial"/>
        </w:rPr>
      </w:pPr>
      <w:r w:rsidRPr="00A26F37">
        <w:rPr>
          <w:rFonts w:ascii="Arial" w:hAnsi="Arial" w:cs="Arial"/>
        </w:rPr>
        <w:t>James Griffin, NHSBT Lead / Medical Director Cell, Apheresis &amp; Gene Therapies</w:t>
      </w:r>
    </w:p>
    <w:p w14:paraId="7D55F50E" w14:textId="77777777" w:rsidR="00AA194F" w:rsidRPr="00A26F37" w:rsidRDefault="00AA194F" w:rsidP="00AA194F">
      <w:pPr>
        <w:pStyle w:val="ListParagraph"/>
        <w:numPr>
          <w:ilvl w:val="0"/>
          <w:numId w:val="4"/>
        </w:numPr>
        <w:spacing w:after="0" w:line="240" w:lineRule="auto"/>
        <w:rPr>
          <w:rFonts w:ascii="Arial" w:hAnsi="Arial" w:cs="Arial"/>
        </w:rPr>
      </w:pPr>
      <w:r w:rsidRPr="00A26F37">
        <w:rPr>
          <w:rFonts w:ascii="Arial" w:hAnsi="Arial" w:cs="Arial"/>
        </w:rPr>
        <w:t>Justin Hayde-West, Janssen Cell Therapy Coordination Manager</w:t>
      </w:r>
    </w:p>
    <w:p w14:paraId="65A72497" w14:textId="77777777" w:rsidR="00AA194F" w:rsidRPr="00A26F37" w:rsidRDefault="00AA194F" w:rsidP="00AA194F">
      <w:pPr>
        <w:pStyle w:val="ListParagraph"/>
        <w:numPr>
          <w:ilvl w:val="0"/>
          <w:numId w:val="4"/>
        </w:numPr>
        <w:spacing w:after="0" w:line="240" w:lineRule="auto"/>
        <w:rPr>
          <w:rFonts w:ascii="Arial" w:hAnsi="Arial" w:cs="Arial"/>
        </w:rPr>
      </w:pPr>
      <w:r w:rsidRPr="00A26F37">
        <w:rPr>
          <w:rFonts w:ascii="Arial" w:hAnsi="Arial" w:cs="Arial"/>
        </w:rPr>
        <w:t>Luis Calleja Calatrava, Janssen Cell Therapy Account Lead</w:t>
      </w:r>
    </w:p>
    <w:p w14:paraId="583398E2" w14:textId="77777777" w:rsidR="00AA194F" w:rsidRPr="00A26F37" w:rsidRDefault="00AA194F" w:rsidP="00AA194F">
      <w:pPr>
        <w:pStyle w:val="ListParagraph"/>
        <w:numPr>
          <w:ilvl w:val="0"/>
          <w:numId w:val="4"/>
        </w:numPr>
        <w:spacing w:after="0" w:line="240" w:lineRule="auto"/>
        <w:rPr>
          <w:rFonts w:ascii="Arial" w:hAnsi="Arial" w:cs="Arial"/>
        </w:rPr>
      </w:pPr>
      <w:r w:rsidRPr="00A26F37">
        <w:rPr>
          <w:rFonts w:ascii="Arial" w:hAnsi="Arial" w:cs="Arial"/>
        </w:rPr>
        <w:t xml:space="preserve">Anita </w:t>
      </w:r>
      <w:proofErr w:type="spellStart"/>
      <w:r w:rsidRPr="00A26F37">
        <w:rPr>
          <w:rFonts w:ascii="Arial" w:hAnsi="Arial" w:cs="Arial"/>
        </w:rPr>
        <w:t>Ralli</w:t>
      </w:r>
      <w:proofErr w:type="spellEnd"/>
      <w:r w:rsidRPr="00A26F37">
        <w:rPr>
          <w:rFonts w:ascii="Arial" w:hAnsi="Arial" w:cs="Arial"/>
        </w:rPr>
        <w:t xml:space="preserve">, Gilead UK </w:t>
      </w:r>
      <w:r>
        <w:rPr>
          <w:rFonts w:ascii="Arial" w:hAnsi="Arial" w:cs="Arial"/>
        </w:rPr>
        <w:t xml:space="preserve">Associate Director </w:t>
      </w:r>
      <w:r w:rsidRPr="00A26F37">
        <w:rPr>
          <w:rFonts w:ascii="Arial" w:hAnsi="Arial" w:cs="Arial"/>
        </w:rPr>
        <w:t>Government Affairs</w:t>
      </w:r>
    </w:p>
    <w:p w14:paraId="4E7D02BF" w14:textId="77777777" w:rsidR="00AA194F" w:rsidRPr="00E34AC1" w:rsidRDefault="00AA194F" w:rsidP="00AA194F">
      <w:pPr>
        <w:pStyle w:val="ListParagraph"/>
        <w:numPr>
          <w:ilvl w:val="0"/>
          <w:numId w:val="4"/>
        </w:numPr>
        <w:spacing w:after="0" w:line="240" w:lineRule="auto"/>
        <w:rPr>
          <w:rFonts w:ascii="Arial" w:hAnsi="Arial" w:cs="Arial"/>
        </w:rPr>
      </w:pPr>
      <w:r w:rsidRPr="00A26F37">
        <w:rPr>
          <w:rFonts w:ascii="Arial" w:hAnsi="Arial" w:cs="Arial"/>
        </w:rPr>
        <w:t xml:space="preserve">Sarah </w:t>
      </w:r>
      <w:proofErr w:type="spellStart"/>
      <w:r w:rsidRPr="00A26F37">
        <w:rPr>
          <w:rFonts w:ascii="Arial" w:hAnsi="Arial" w:cs="Arial"/>
        </w:rPr>
        <w:t>Waluda</w:t>
      </w:r>
      <w:proofErr w:type="spellEnd"/>
      <w:r w:rsidRPr="00A26F37">
        <w:rPr>
          <w:rFonts w:ascii="Arial" w:hAnsi="Arial" w:cs="Arial"/>
        </w:rPr>
        <w:t xml:space="preserve">, </w:t>
      </w:r>
      <w:proofErr w:type="spellStart"/>
      <w:r w:rsidRPr="00A26F37">
        <w:rPr>
          <w:rFonts w:ascii="Arial" w:hAnsi="Arial" w:cs="Arial"/>
        </w:rPr>
        <w:t>Autolus</w:t>
      </w:r>
      <w:proofErr w:type="spellEnd"/>
      <w:r w:rsidRPr="00A26F37">
        <w:rPr>
          <w:rFonts w:ascii="Arial" w:hAnsi="Arial" w:cs="Arial"/>
        </w:rPr>
        <w:t xml:space="preserve"> Senior Director Clinical Programme Le</w:t>
      </w:r>
    </w:p>
    <w:p w14:paraId="167DE7F2" w14:textId="77777777" w:rsidR="00422A76" w:rsidRDefault="00422A76"/>
    <w:sectPr w:rsidR="00422A76" w:rsidSect="002E2AEB">
      <w:headerReference w:type="default" r:id="rId7"/>
      <w:footerReference w:type="default" r:id="rId8"/>
      <w:headerReference w:type="first" r:id="rId9"/>
      <w:footerReference w:type="first" r:id="rId10"/>
      <w:pgSz w:w="11906" w:h="16838" w:code="9"/>
      <w:pgMar w:top="851" w:right="851" w:bottom="1134" w:left="851"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53E2" w14:textId="77777777" w:rsidR="00A80926" w:rsidRDefault="00923F8C">
      <w:pPr>
        <w:spacing w:after="0" w:line="240" w:lineRule="auto"/>
      </w:pPr>
      <w:r>
        <w:separator/>
      </w:r>
    </w:p>
  </w:endnote>
  <w:endnote w:type="continuationSeparator" w:id="0">
    <w:p w14:paraId="19D99414" w14:textId="77777777" w:rsidR="00A80926" w:rsidRDefault="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9D13" w14:textId="7E069100" w:rsidR="00923F8C" w:rsidRDefault="00923F8C">
    <w:pPr>
      <w:pStyle w:val="Footer"/>
    </w:pPr>
    <w:r>
      <w:rPr>
        <w:rFonts w:ascii="ArialMT" w:hAnsi="ArialMT"/>
        <w:lang w:eastAsia="en-GB"/>
      </w:rPr>
      <w:t>CP-361038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D0E0" w14:textId="77777777" w:rsidR="00B51BDD" w:rsidRDefault="00BA606F" w:rsidP="00CB61EA">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4468" w14:textId="77777777" w:rsidR="00A80926" w:rsidRDefault="00923F8C">
      <w:pPr>
        <w:spacing w:after="0" w:line="240" w:lineRule="auto"/>
      </w:pPr>
      <w:r>
        <w:separator/>
      </w:r>
    </w:p>
  </w:footnote>
  <w:footnote w:type="continuationSeparator" w:id="0">
    <w:p w14:paraId="6ABFEA8D" w14:textId="77777777" w:rsidR="00A80926" w:rsidRDefault="0092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DA7A94C" w14:paraId="07315313" w14:textId="77777777" w:rsidTr="0DA7A94C">
      <w:tc>
        <w:tcPr>
          <w:tcW w:w="3400" w:type="dxa"/>
        </w:tcPr>
        <w:p w14:paraId="2CDF41C3" w14:textId="77777777" w:rsidR="0DA7A94C" w:rsidRDefault="00BA606F" w:rsidP="0DA7A94C">
          <w:pPr>
            <w:pStyle w:val="Header"/>
            <w:ind w:left="-115"/>
          </w:pPr>
        </w:p>
      </w:tc>
      <w:tc>
        <w:tcPr>
          <w:tcW w:w="3400" w:type="dxa"/>
        </w:tcPr>
        <w:p w14:paraId="0BEAB0A8" w14:textId="77777777" w:rsidR="0DA7A94C" w:rsidRDefault="00BA606F" w:rsidP="0DA7A94C">
          <w:pPr>
            <w:pStyle w:val="Header"/>
            <w:jc w:val="center"/>
          </w:pPr>
        </w:p>
      </w:tc>
      <w:tc>
        <w:tcPr>
          <w:tcW w:w="3400" w:type="dxa"/>
        </w:tcPr>
        <w:p w14:paraId="4587D634" w14:textId="77777777" w:rsidR="0DA7A94C" w:rsidRDefault="00BA606F" w:rsidP="0DA7A94C">
          <w:pPr>
            <w:pStyle w:val="Header"/>
            <w:ind w:right="-115"/>
            <w:jc w:val="right"/>
          </w:pPr>
        </w:p>
      </w:tc>
    </w:tr>
  </w:tbl>
  <w:p w14:paraId="0A4CACA3" w14:textId="77777777" w:rsidR="00083AE1" w:rsidRDefault="00BA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DA7A94C" w14:paraId="5313D33A" w14:textId="77777777" w:rsidTr="0DA7A94C">
      <w:tc>
        <w:tcPr>
          <w:tcW w:w="3400" w:type="dxa"/>
        </w:tcPr>
        <w:p w14:paraId="0219C6E1" w14:textId="77777777" w:rsidR="0DA7A94C" w:rsidRDefault="00BA606F" w:rsidP="0DA7A94C">
          <w:pPr>
            <w:pStyle w:val="Header"/>
            <w:ind w:left="-115"/>
          </w:pPr>
        </w:p>
      </w:tc>
      <w:tc>
        <w:tcPr>
          <w:tcW w:w="3400" w:type="dxa"/>
        </w:tcPr>
        <w:p w14:paraId="31EF523F" w14:textId="77777777" w:rsidR="0DA7A94C" w:rsidRDefault="00BA606F" w:rsidP="0DA7A94C">
          <w:pPr>
            <w:pStyle w:val="Header"/>
            <w:jc w:val="center"/>
          </w:pPr>
        </w:p>
      </w:tc>
      <w:tc>
        <w:tcPr>
          <w:tcW w:w="3400" w:type="dxa"/>
        </w:tcPr>
        <w:p w14:paraId="453310AF" w14:textId="77777777" w:rsidR="0DA7A94C" w:rsidRDefault="00BA606F" w:rsidP="0DA7A94C">
          <w:pPr>
            <w:pStyle w:val="Header"/>
            <w:ind w:right="-115"/>
            <w:jc w:val="right"/>
          </w:pPr>
        </w:p>
      </w:tc>
    </w:tr>
  </w:tbl>
  <w:p w14:paraId="3A9B471D" w14:textId="77777777" w:rsidR="00083AE1" w:rsidRDefault="00BA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3C4"/>
    <w:multiLevelType w:val="hybridMultilevel"/>
    <w:tmpl w:val="F040734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45F0E"/>
    <w:multiLevelType w:val="hybridMultilevel"/>
    <w:tmpl w:val="BEB0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E2637"/>
    <w:multiLevelType w:val="hybridMultilevel"/>
    <w:tmpl w:val="80CA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71DBA"/>
    <w:multiLevelType w:val="multilevel"/>
    <w:tmpl w:val="539AB5B6"/>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172E54"/>
    <w:multiLevelType w:val="hybridMultilevel"/>
    <w:tmpl w:val="341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A083C"/>
    <w:multiLevelType w:val="hybridMultilevel"/>
    <w:tmpl w:val="24B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F7D80"/>
    <w:multiLevelType w:val="hybridMultilevel"/>
    <w:tmpl w:val="CFFA3D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541BB"/>
    <w:multiLevelType w:val="hybridMultilevel"/>
    <w:tmpl w:val="CA7EE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42522"/>
    <w:multiLevelType w:val="hybridMultilevel"/>
    <w:tmpl w:val="688C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240153">
    <w:abstractNumId w:val="7"/>
  </w:num>
  <w:num w:numId="2" w16cid:durableId="663431538">
    <w:abstractNumId w:val="0"/>
  </w:num>
  <w:num w:numId="3" w16cid:durableId="1108088711">
    <w:abstractNumId w:val="6"/>
  </w:num>
  <w:num w:numId="4" w16cid:durableId="1318220441">
    <w:abstractNumId w:val="4"/>
  </w:num>
  <w:num w:numId="5" w16cid:durableId="364330414">
    <w:abstractNumId w:val="3"/>
  </w:num>
  <w:num w:numId="6" w16cid:durableId="199709450">
    <w:abstractNumId w:val="8"/>
  </w:num>
  <w:num w:numId="7" w16cid:durableId="2071731465">
    <w:abstractNumId w:val="1"/>
  </w:num>
  <w:num w:numId="8" w16cid:durableId="372387507">
    <w:abstractNumId w:val="2"/>
  </w:num>
  <w:num w:numId="9" w16cid:durableId="874346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F"/>
    <w:rsid w:val="00422A76"/>
    <w:rsid w:val="00923F8C"/>
    <w:rsid w:val="00A80926"/>
    <w:rsid w:val="00AA194F"/>
    <w:rsid w:val="00B51352"/>
    <w:rsid w:val="00BA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859A"/>
  <w15:chartTrackingRefBased/>
  <w15:docId w15:val="{942F5353-03E7-44AB-B0E2-22769FC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4F"/>
  </w:style>
  <w:style w:type="paragraph" w:styleId="Heading1">
    <w:name w:val="heading 1"/>
    <w:basedOn w:val="Normal"/>
    <w:next w:val="Normal"/>
    <w:link w:val="Heading1Char"/>
    <w:uiPriority w:val="9"/>
    <w:qFormat/>
    <w:rsid w:val="00AA194F"/>
    <w:pPr>
      <w:keepNext/>
      <w:keepLines/>
      <w:spacing w:after="240" w:line="240" w:lineRule="auto"/>
      <w:outlineLvl w:val="0"/>
    </w:pPr>
    <w:rPr>
      <w:rFonts w:ascii="Georgia" w:eastAsiaTheme="majorEastAsia" w:hAnsi="Georg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4F"/>
    <w:rPr>
      <w:rFonts w:ascii="Georgia" w:eastAsiaTheme="majorEastAsia" w:hAnsi="Georgia" w:cstheme="majorBidi"/>
      <w:color w:val="000000" w:themeColor="text1"/>
      <w:sz w:val="32"/>
      <w:szCs w:val="32"/>
    </w:rPr>
  </w:style>
  <w:style w:type="paragraph" w:styleId="Header">
    <w:name w:val="header"/>
    <w:basedOn w:val="Normal"/>
    <w:link w:val="HeaderChar"/>
    <w:uiPriority w:val="99"/>
    <w:unhideWhenUsed/>
    <w:rsid w:val="00AA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94F"/>
  </w:style>
  <w:style w:type="paragraph" w:styleId="Footer">
    <w:name w:val="footer"/>
    <w:basedOn w:val="Normal"/>
    <w:link w:val="FooterChar"/>
    <w:uiPriority w:val="99"/>
    <w:unhideWhenUsed/>
    <w:rsid w:val="00AA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94F"/>
  </w:style>
  <w:style w:type="paragraph" w:styleId="ListParagraph">
    <w:name w:val="List Paragraph"/>
    <w:basedOn w:val="Normal"/>
    <w:uiPriority w:val="34"/>
    <w:qFormat/>
    <w:rsid w:val="00AA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Company>JNJ</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Annabel [JACGB NON-J&amp;J]</dc:creator>
  <cp:keywords/>
  <dc:description/>
  <cp:lastModifiedBy>Collier, Melodie [JACGB NON-J&amp;J]</cp:lastModifiedBy>
  <cp:revision>2</cp:revision>
  <dcterms:created xsi:type="dcterms:W3CDTF">2023-01-10T10:32:00Z</dcterms:created>
  <dcterms:modified xsi:type="dcterms:W3CDTF">2023-01-10T10:32:00Z</dcterms:modified>
</cp:coreProperties>
</file>